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木垒哈萨克自治县新户镇乡卫生院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等农村突发公共卫生事件报告工作，重点控制严重危害农民身体健康的传染病、地方病、职业病和寄生虫病等重大疾病；</w:t>
      </w:r>
    </w:p>
    <w:p>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木垒哈萨克自治县新户镇乡卫生院2023年度，实有人数</w:t>
      </w:r>
      <w:r>
        <w:rPr>
          <w:rFonts w:hint="eastAsia" w:ascii="仿宋_GB2312" w:eastAsia="仿宋_GB2312"/>
          <w:sz w:val="32"/>
          <w:szCs w:val="32"/>
          <w:lang w:val="zh-CN"/>
        </w:rPr>
        <w:t>33</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院办、财务室、内外科门诊、药房、收费室、B超室、心电图室、护士办公室、换药室、输液室、药库、公共卫生科、妇幼保健科、防疫科、手术室、中医馆。</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2023年度收入总计611.52万元，其中：本年收入合计611.52万元，使用非财政拨款结余0.00万元，年初结转和结余0.00万元。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2023年度支出总计611.52万元，其中：本年支出合计611.52万元，结余分配0.00万元，年末结转和结余0.00万元。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增加170.53万元</w:t>
      </w:r>
      <w:r>
        <w:rPr>
          <w:rFonts w:hint="eastAsia" w:ascii="仿宋_GB2312" w:eastAsia="仿宋_GB2312"/>
          <w:sz w:val="32"/>
          <w:szCs w:val="32"/>
        </w:rPr>
        <w:t>，增长38.67%，主要原因是：2023年15-64岁体检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本年收入611.52万元，其中：财政拨款收入</w:t>
      </w:r>
      <w:r>
        <w:rPr>
          <w:rFonts w:hint="eastAsia" w:ascii="仿宋_GB2312" w:eastAsia="仿宋_GB2312"/>
          <w:sz w:val="32"/>
          <w:szCs w:val="32"/>
          <w:lang w:val="zh-CN"/>
        </w:rPr>
        <w:t>536.07</w:t>
      </w:r>
      <w:r>
        <w:rPr>
          <w:rFonts w:hint="eastAsia" w:ascii="仿宋_GB2312" w:eastAsia="仿宋_GB2312"/>
          <w:sz w:val="32"/>
          <w:szCs w:val="32"/>
        </w:rPr>
        <w:t>万元，占</w:t>
      </w:r>
      <w:r>
        <w:rPr>
          <w:rFonts w:hint="eastAsia" w:ascii="仿宋_GB2312" w:eastAsia="仿宋_GB2312"/>
          <w:sz w:val="32"/>
          <w:szCs w:val="32"/>
          <w:lang w:val="zh-CN"/>
        </w:rPr>
        <w:t>87.66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75.45</w:t>
      </w:r>
      <w:r>
        <w:rPr>
          <w:rFonts w:hint="eastAsia" w:ascii="仿宋_GB2312" w:eastAsia="仿宋_GB2312"/>
          <w:sz w:val="32"/>
          <w:szCs w:val="32"/>
        </w:rPr>
        <w:t>万元，占</w:t>
      </w:r>
      <w:r>
        <w:rPr>
          <w:rFonts w:hint="eastAsia" w:ascii="仿宋_GB2312" w:eastAsia="仿宋_GB2312"/>
          <w:sz w:val="32"/>
          <w:szCs w:val="32"/>
          <w:lang w:val="zh-CN"/>
        </w:rPr>
        <w:t>12.34</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本年支出611.52万元，其中：基本支出368.05万元，占60.19%；项目支出243.47万元，占39.81%；上缴上级支出0.00万元，占0.00%；经营支出0.00万元，占0.00%；对附属单位补助支出0.00万元，占0.00%。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536.07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536.07</w:t>
      </w:r>
      <w:r>
        <w:rPr>
          <w:rFonts w:hint="eastAsia" w:ascii="仿宋_GB2312" w:eastAsia="仿宋_GB2312"/>
          <w:sz w:val="32"/>
          <w:szCs w:val="32"/>
        </w:rPr>
        <w:t>万元。财政拨款支出总计</w:t>
      </w:r>
      <w:r>
        <w:rPr>
          <w:rFonts w:hint="eastAsia" w:ascii="仿宋_GB2312" w:eastAsia="仿宋_GB2312"/>
          <w:sz w:val="32"/>
          <w:szCs w:val="32"/>
          <w:lang w:val="zh-CN"/>
        </w:rPr>
        <w:t>536.07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536.07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增加114.76万元</w:t>
      </w:r>
      <w:r>
        <w:rPr>
          <w:rFonts w:hint="eastAsia" w:ascii="仿宋_GB2312" w:eastAsia="仿宋_GB2312"/>
          <w:sz w:val="32"/>
          <w:szCs w:val="32"/>
        </w:rPr>
        <w:t>，增长27.24%,主要原因是：2023年15-64岁体检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536.07</w:t>
      </w:r>
      <w:r>
        <w:rPr>
          <w:rFonts w:hint="eastAsia" w:ascii="仿宋_GB2312" w:eastAsia="仿宋_GB2312"/>
          <w:sz w:val="32"/>
          <w:szCs w:val="32"/>
        </w:rPr>
        <w:t>万元，预决算差异率96.76%，主要原因是：年中追加2023年15-64岁体检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2023年度一般公共预算财政拨款支出405.44万元，占本年支出合计的</w:t>
      </w:r>
      <w:r>
        <w:rPr>
          <w:rFonts w:hint="eastAsia" w:ascii="仿宋_GB2312" w:eastAsia="仿宋_GB2312"/>
          <w:sz w:val="32"/>
          <w:szCs w:val="32"/>
          <w:lang w:val="zh-CN"/>
        </w:rPr>
        <w:t>66.30%</w:t>
      </w:r>
      <w:r>
        <w:rPr>
          <w:rFonts w:hint="eastAsia" w:ascii="仿宋_GB2312" w:eastAsia="仿宋_GB2312"/>
          <w:sz w:val="32"/>
          <w:szCs w:val="32"/>
        </w:rPr>
        <w:t>。与上年相比，</w:t>
      </w:r>
      <w:r>
        <w:rPr>
          <w:rFonts w:hint="eastAsia" w:ascii="仿宋_GB2312" w:eastAsia="仿宋_GB2312"/>
          <w:sz w:val="32"/>
          <w:szCs w:val="32"/>
          <w:lang w:val="zh-CN"/>
        </w:rPr>
        <w:t>增加54.49万元</w:t>
      </w:r>
      <w:r>
        <w:rPr>
          <w:rFonts w:hint="eastAsia" w:ascii="仿宋_GB2312" w:eastAsia="仿宋_GB2312"/>
          <w:sz w:val="32"/>
          <w:szCs w:val="32"/>
        </w:rPr>
        <w:t>，增长15.53%,主要原因是：2023年15-64岁体检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405.44</w:t>
      </w:r>
      <w:r>
        <w:rPr>
          <w:rFonts w:hint="eastAsia" w:ascii="仿宋_GB2312" w:eastAsia="仿宋_GB2312"/>
          <w:sz w:val="32"/>
          <w:szCs w:val="32"/>
        </w:rPr>
        <w:t>万元，预决算差异率</w:t>
      </w:r>
      <w:r>
        <w:rPr>
          <w:rFonts w:hint="eastAsia" w:ascii="仿宋_GB2312" w:eastAsia="仿宋_GB2312"/>
          <w:sz w:val="32"/>
          <w:szCs w:val="32"/>
          <w:lang w:val="zh-CN"/>
        </w:rPr>
        <w:t>48.81%</w:t>
      </w:r>
      <w:r>
        <w:rPr>
          <w:rFonts w:hint="eastAsia" w:ascii="仿宋_GB2312" w:eastAsia="仿宋_GB2312"/>
          <w:sz w:val="32"/>
          <w:szCs w:val="32"/>
        </w:rPr>
        <w:t>，主要原因是：年中追加2023年15-64岁体检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36.61</w:t>
      </w:r>
      <w:r>
        <w:rPr>
          <w:rFonts w:ascii="仿宋_GB2312" w:eastAsia="仿宋_GB2312"/>
          <w:kern w:val="2"/>
          <w:sz w:val="32"/>
          <w:szCs w:val="32"/>
          <w:lang w:val="zh-CN"/>
        </w:rPr>
        <w:t>万元，占</w:t>
      </w:r>
      <w:r>
        <w:rPr>
          <w:rFonts w:hint="eastAsia" w:ascii="仿宋_GB2312" w:eastAsia="仿宋_GB2312"/>
          <w:kern w:val="2"/>
          <w:sz w:val="32"/>
          <w:szCs w:val="32"/>
          <w:lang w:val="zh-CN"/>
        </w:rPr>
        <w:t>9.03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348.81</w:t>
      </w:r>
      <w:r>
        <w:rPr>
          <w:rFonts w:ascii="仿宋_GB2312" w:eastAsia="仿宋_GB2312"/>
          <w:kern w:val="2"/>
          <w:sz w:val="32"/>
          <w:szCs w:val="32"/>
          <w:lang w:val="zh-CN"/>
        </w:rPr>
        <w:t>万元，占</w:t>
      </w:r>
      <w:r>
        <w:rPr>
          <w:rFonts w:hint="eastAsia" w:ascii="仿宋_GB2312" w:eastAsia="仿宋_GB2312"/>
          <w:kern w:val="2"/>
          <w:sz w:val="32"/>
          <w:szCs w:val="32"/>
          <w:lang w:val="zh-CN"/>
        </w:rPr>
        <w:t>86.03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20.02</w:t>
      </w:r>
      <w:r>
        <w:rPr>
          <w:rFonts w:ascii="仿宋_GB2312" w:eastAsia="仿宋_GB2312"/>
          <w:kern w:val="2"/>
          <w:sz w:val="32"/>
          <w:szCs w:val="32"/>
          <w:lang w:val="zh-CN"/>
        </w:rPr>
        <w:t>万元，占</w:t>
      </w:r>
      <w:r>
        <w:rPr>
          <w:rFonts w:hint="eastAsia" w:ascii="仿宋_GB2312" w:eastAsia="仿宋_GB2312"/>
          <w:kern w:val="2"/>
          <w:sz w:val="32"/>
          <w:szCs w:val="32"/>
          <w:lang w:val="zh-CN"/>
        </w:rPr>
        <w:t>4.94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1.卫生健康支出（类）基层医疗卫生机构（款）其他基层医疗卫生机构支出（项）:支出决算数为6.58万元，比上年决算减少3.26万元，下降33.13%，主要原因是：</w:t>
      </w:r>
      <w:r>
        <w:rPr>
          <w:rFonts w:hint="eastAsia" w:ascii="仿宋_GB2312" w:eastAsia="仿宋_GB2312"/>
          <w:sz w:val="32"/>
          <w:szCs w:val="32"/>
          <w:lang w:val="en-US" w:eastAsia="zh-CN"/>
        </w:rPr>
        <w:t>单位本年</w:t>
      </w:r>
      <w:r>
        <w:rPr>
          <w:rFonts w:hint="eastAsia" w:ascii="仿宋_GB2312" w:eastAsia="仿宋_GB2312"/>
          <w:sz w:val="32"/>
          <w:szCs w:val="32"/>
        </w:rPr>
        <w:t>基本药物补助项目资金较上年减少。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2.卫生健康支出（类）公共卫生（款）突发公共卫生事件应急处理（项）:支出决算数为0.36万元，比上年决算减少4.64万元，下降92.80%，主要原因是：</w:t>
      </w:r>
      <w:r>
        <w:rPr>
          <w:rFonts w:hint="eastAsia" w:ascii="仿宋_GB2312" w:eastAsia="仿宋_GB2312"/>
          <w:sz w:val="32"/>
          <w:szCs w:val="32"/>
          <w:lang w:val="en-US" w:eastAsia="zh-CN"/>
        </w:rPr>
        <w:t>本年</w:t>
      </w:r>
      <w:r>
        <w:rPr>
          <w:rFonts w:hint="eastAsia" w:ascii="仿宋_GB2312" w:eastAsia="仿宋_GB2312"/>
          <w:sz w:val="32"/>
          <w:szCs w:val="32"/>
        </w:rPr>
        <w:t>中央财政重大传染病防控经费（第二批）较上年减少。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3.卫生健康支出（类）公共卫生（款）其他公共卫生支出（项）:支出决算数为26.69万元，比上年决算增加13.63万元，增长104.21%，主要原因是：2023年15-64岁体检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经费、自治区公共卫生服务（地方公共卫生）项目经费较上年增加。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4.卫生健康支出（类）基层医疗卫生机构（款）乡镇卫生院（项）:支出决算数为235.97万元，比上年决算增加13.76万元，增长6.19%，主要原因是：本年单位人员薪资调增，人员工资、津补贴等人员经费较上年增加。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20.02万元，比上年决算减少0.04万元，下降0.20%，主要原因是：单位本年新进人员职级低，新进人员公积金缴费基数低，人员公积金缴费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5.22万元，比上年决算增加3.68万元，增长238.96%，主要原因是：本年单位新增1名退休人员，人员退休费、独生子女奖励金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72.86万元，比上年决算增加26.40万元，增长56.82%，主要原因是：本年增加牧民计划生育免费技术服务州本级配套资金、自治区财政基本公共卫生服务补助等项目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6.52万元，比上年决算增加0.56万元，增长9.40%，主要原因是：单位退休人员增加，人员职业年金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9.卫生健康支出（类）公共卫生（款）重大公共卫生服务（项）:支出决算数为6.29万元，比上年决算增加4.55万元，增长261.49%，主要原因是：本年增加中央重大传染病防控</w:t>
      </w:r>
      <w:r>
        <w:rPr>
          <w:rFonts w:hint="eastAsia" w:ascii="仿宋_GB2312" w:eastAsia="仿宋_GB2312"/>
          <w:sz w:val="32"/>
          <w:szCs w:val="32"/>
          <w:lang w:val="en-US" w:eastAsia="zh-CN"/>
        </w:rPr>
        <w:t>项目</w:t>
      </w:r>
      <w:r>
        <w:rPr>
          <w:rFonts w:hint="eastAsia" w:ascii="仿宋_GB2312" w:eastAsia="仿宋_GB2312"/>
          <w:sz w:val="32"/>
          <w:szCs w:val="32"/>
        </w:rPr>
        <w:t>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10.卫生健康支出（类）计划生育事务（款）计划生育服务（项）:支出决算数为0.05万元，比上年决算增加0.05万元，增长100%，主要原因是：本年增加计划生育免费技术服务项目州本级配套</w:t>
      </w:r>
      <w:r>
        <w:rPr>
          <w:rFonts w:hint="eastAsia" w:ascii="仿宋_GB2312" w:eastAsia="仿宋_GB2312"/>
          <w:sz w:val="32"/>
          <w:szCs w:val="32"/>
          <w:lang w:val="en-US" w:eastAsia="zh-CN"/>
        </w:rPr>
        <w:t>项目</w:t>
      </w:r>
      <w:r>
        <w:rPr>
          <w:rFonts w:hint="eastAsia" w:ascii="仿宋_GB2312" w:eastAsia="仿宋_GB2312"/>
          <w:sz w:val="32"/>
          <w:szCs w:val="32"/>
        </w:rPr>
        <w:t>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24.86万元，比上年决算减少0.21万元，下降0.84%，主要原因是：单位本年新进人员职级低，新进人员社保缴费基数低，人员养老保险缴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积金、其他工资福利支出、退休费、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政府性基金预算财政拨款收入支出与上年相比，增加60.27万元,增长85.66%,主要原因是：本年增加</w:t>
      </w:r>
      <w:r>
        <w:rPr>
          <w:rFonts w:hint="eastAsia" w:ascii="仿宋_GB2312" w:eastAsia="仿宋_GB2312"/>
          <w:kern w:val="0"/>
          <w:sz w:val="32"/>
        </w:rPr>
        <w:t>医养结合服务能力提升项目经费</w:t>
      </w:r>
      <w:r>
        <w:rPr>
          <w:rFonts w:hint="eastAsia" w:ascii="仿宋_GB2312" w:eastAsia="仿宋_GB2312"/>
          <w:sz w:val="32"/>
          <w:szCs w:val="32"/>
          <w:lang w:val="zh-CN"/>
        </w:rPr>
        <w:t>。与年初预算相比,年初预算数0.00万元，决算数130.63万元，预决算差异率1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w:t>
      </w:r>
      <w:r>
        <w:rPr>
          <w:rFonts w:hint="eastAsia" w:ascii="仿宋_GB2312" w:eastAsia="仿宋_GB2312"/>
          <w:kern w:val="0"/>
          <w:sz w:val="32"/>
        </w:rPr>
        <w:t>医养结合服务能力提升项目经费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政府性基金预算财政拨款支出130.63万元。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1.其他支出（类）彩票公益金安排的支出（款）用于社会福利的彩票公益金支出（项）:支出决算数为7.61万元，比上年决算减少62.75万元，下降89.18%，主要原因是：</w:t>
      </w:r>
      <w:r>
        <w:rPr>
          <w:rFonts w:hint="eastAsia" w:ascii="仿宋_GB2312" w:eastAsia="仿宋_GB2312"/>
          <w:sz w:val="32"/>
          <w:szCs w:val="32"/>
          <w:lang w:val="en-US" w:eastAsia="zh-CN"/>
        </w:rPr>
        <w:t>单位本年</w:t>
      </w:r>
      <w:r>
        <w:rPr>
          <w:rFonts w:hint="eastAsia" w:ascii="仿宋_GB2312" w:eastAsia="仿宋_GB2312"/>
          <w:sz w:val="32"/>
          <w:szCs w:val="32"/>
          <w:lang w:val="zh-CN"/>
        </w:rPr>
        <w:t>福利彩票公益金项目经费较上年减少。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2.城乡社区支出（类）国有土地使用权出让收入安排的支出（款）其他国有土地使用权出让收入安排的支出（项）:支出决算数为123.02万元，比上年决算增加123.02万元，增长100%，主要原因是：本年增加</w:t>
      </w:r>
      <w:r>
        <w:rPr>
          <w:rFonts w:hint="eastAsia" w:ascii="仿宋_GB2312" w:eastAsia="仿宋_GB2312"/>
          <w:kern w:val="0"/>
          <w:sz w:val="32"/>
        </w:rPr>
        <w:t>医养结合服务能力提升项目经费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2023年度木垒哈萨克自治县新户镇乡卫生院（事业单位）公用经费支出0.00万元，比上年增加0.00万元，增长0.00%，主要原因是：</w:t>
      </w:r>
      <w:r>
        <w:rPr>
          <w:rFonts w:hint="eastAsia" w:ascii="仿宋_GB2312" w:eastAsia="仿宋_GB2312"/>
          <w:sz w:val="32"/>
          <w:szCs w:val="32"/>
          <w:lang w:val="zh-CN"/>
        </w:rPr>
        <w:t>本年无此项经费</w:t>
      </w:r>
      <w:r>
        <w:rPr>
          <w:rFonts w:hint="eastAsia" w:ascii="仿宋_GB2312"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截至2023年12月31日，固定资产原值622.75万元，房屋1</w:t>
      </w:r>
      <w:r>
        <w:rPr>
          <w:rFonts w:ascii="仿宋_GB2312" w:eastAsia="仿宋_GB2312"/>
          <w:sz w:val="32"/>
          <w:szCs w:val="32"/>
        </w:rPr>
        <w:t>,</w:t>
      </w:r>
      <w:r>
        <w:rPr>
          <w:rFonts w:hint="eastAsia" w:ascii="仿宋_GB2312" w:eastAsia="仿宋_GB2312"/>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611.52</w:t>
      </w:r>
      <w:r>
        <w:rPr>
          <w:rFonts w:hint="eastAsia" w:ascii="仿宋_GB2312" w:eastAsia="仿宋_GB2312"/>
          <w:sz w:val="32"/>
          <w:szCs w:val="32"/>
        </w:rPr>
        <w:t>万元，实际执行总额</w:t>
      </w:r>
      <w:r>
        <w:rPr>
          <w:rFonts w:ascii="仿宋_GB2312" w:eastAsia="仿宋_GB2312"/>
          <w:sz w:val="32"/>
          <w:szCs w:val="32"/>
        </w:rPr>
        <w:t>611.52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0</w:t>
      </w:r>
      <w:r>
        <w:rPr>
          <w:rFonts w:hint="eastAsia" w:ascii="仿宋_GB2312" w:eastAsia="仿宋_GB2312"/>
          <w:sz w:val="32"/>
          <w:szCs w:val="32"/>
        </w:rPr>
        <w:t>个，全年预算数</w:t>
      </w:r>
      <w:r>
        <w:rPr>
          <w:rFonts w:ascii="仿宋_GB2312" w:eastAsia="仿宋_GB2312"/>
          <w:sz w:val="32"/>
          <w:szCs w:val="32"/>
        </w:rPr>
        <w:t>243.47</w:t>
      </w:r>
      <w:r>
        <w:rPr>
          <w:rFonts w:hint="eastAsia" w:ascii="仿宋_GB2312" w:eastAsia="仿宋_GB2312"/>
          <w:sz w:val="32"/>
          <w:szCs w:val="32"/>
        </w:rPr>
        <w:t>万元，全年执行数</w:t>
      </w:r>
      <w:r>
        <w:rPr>
          <w:rFonts w:ascii="仿宋_GB2312" w:eastAsia="仿宋_GB2312"/>
          <w:sz w:val="32"/>
          <w:szCs w:val="32"/>
        </w:rPr>
        <w:t>243.47</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服务对象满意度指标有待进一步提升，提升对医护人员的职业道德教育，完善内部监察和社会监察制度；</w:t>
      </w:r>
      <w:r>
        <w:rPr>
          <w:rFonts w:hint="eastAsia" w:ascii="仿宋_GB2312" w:eastAsia="仿宋_GB2312"/>
          <w:sz w:val="32"/>
          <w:szCs w:val="32"/>
        </w:rPr>
        <w:t>二是促进统筹规划和综合协调，提升人居环境质量,提升群众人居环境。发现的问题及原因：一是部门职能不明确，个别工作分工不清晰，且人员培训和绩效考核制度不够完善，考核方案部分内容和人员名单更新滞后；二是促进统筹规划和综合协调，提升人居环境质量,提升群众人居环境。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1003"/>
        <w:gridCol w:w="1134"/>
        <w:gridCol w:w="1276"/>
        <w:gridCol w:w="992"/>
        <w:gridCol w:w="709"/>
        <w:gridCol w:w="819"/>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832"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6582"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413"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169"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413"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83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03"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11次</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03"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≥5296人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4230人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&gt;=406人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348人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满意度指标 </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70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345"/>
        <w:gridCol w:w="728"/>
        <w:gridCol w:w="142"/>
        <w:gridCol w:w="1417"/>
        <w:gridCol w:w="284"/>
        <w:gridCol w:w="1275"/>
        <w:gridCol w:w="993"/>
        <w:gridCol w:w="850"/>
        <w:gridCol w:w="95"/>
        <w:gridCol w:w="638"/>
        <w:gridCol w:w="259"/>
        <w:gridCol w:w="50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4"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938"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9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19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92" w:type="dxa"/>
            <w:gridSpan w:val="3"/>
            <w:vMerge w:val="continue"/>
            <w:vAlign w:val="center"/>
          </w:tcPr>
          <w:p>
            <w:pPr>
              <w:widowControl/>
              <w:jc w:val="left"/>
              <w:rPr>
                <w:rFonts w:hint="eastAsia" w:ascii="宋体" w:hAnsi="宋体" w:cs="宋体"/>
                <w:color w:val="000000"/>
                <w:kern w:val="0"/>
                <w:sz w:val="20"/>
                <w:szCs w:val="20"/>
              </w:rPr>
            </w:pPr>
          </w:p>
        </w:tc>
        <w:tc>
          <w:tcPr>
            <w:tcW w:w="104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p>
        </w:tc>
        <w:tc>
          <w:tcPr>
            <w:tcW w:w="993"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p>
        </w:tc>
        <w:tc>
          <w:tcPr>
            <w:tcW w:w="993"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p>
        </w:tc>
        <w:tc>
          <w:tcPr>
            <w:tcW w:w="993" w:type="dxa"/>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
        <w:gridCol w:w="358"/>
        <w:gridCol w:w="701"/>
        <w:gridCol w:w="500"/>
        <w:gridCol w:w="1059"/>
        <w:gridCol w:w="851"/>
        <w:gridCol w:w="1459"/>
        <w:gridCol w:w="242"/>
        <w:gridCol w:w="708"/>
        <w:gridCol w:w="307"/>
        <w:gridCol w:w="504"/>
        <w:gridCol w:w="40"/>
        <w:gridCol w:w="754"/>
        <w:gridCol w:w="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1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271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87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7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p>
        </w:tc>
        <w:tc>
          <w:tcPr>
            <w:tcW w:w="19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9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9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120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91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7"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46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70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851" w:type="dxa"/>
            <w:vMerge w:val="continue"/>
            <w:vAlign w:val="center"/>
          </w:tcPr>
          <w:p>
            <w:pPr>
              <w:widowControl/>
              <w:jc w:val="left"/>
              <w:rPr>
                <w:rFonts w:hint="eastAsia" w:ascii="宋体" w:hAnsi="宋体" w:cs="宋体"/>
                <w:color w:val="000000"/>
                <w:kern w:val="0"/>
                <w:sz w:val="20"/>
                <w:szCs w:val="20"/>
              </w:rPr>
            </w:pPr>
          </w:p>
        </w:tc>
        <w:tc>
          <w:tcPr>
            <w:tcW w:w="1701" w:type="dxa"/>
            <w:gridSpan w:val="2"/>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851" w:type="dxa"/>
            <w:gridSpan w:val="3"/>
            <w:vMerge w:val="continue"/>
            <w:vAlign w:val="center"/>
          </w:tcPr>
          <w:p>
            <w:pPr>
              <w:widowControl/>
              <w:jc w:val="left"/>
              <w:rPr>
                <w:rFonts w:hint="eastAsia" w:ascii="宋体" w:hAnsi="宋体" w:cs="宋体"/>
                <w:color w:val="000000"/>
                <w:kern w:val="0"/>
                <w:sz w:val="20"/>
                <w:szCs w:val="20"/>
              </w:rPr>
            </w:pPr>
          </w:p>
        </w:tc>
        <w:tc>
          <w:tcPr>
            <w:tcW w:w="132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前任人口较多，建档立卡人口5992人。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3.76</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健康只是讲座、公众健康咨询、个体化健康教育开展次数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由于当地居民需求量增加，健康讲座增加。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1.91</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辖区严重精神病患者管理率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1" w:type="dxa"/>
            <w:shd w:val="clear" w:color="auto" w:fill="auto"/>
            <w:vAlign w:val="center"/>
          </w:tcPr>
          <w:p>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89.45分</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446"/>
        <w:gridCol w:w="1080"/>
        <w:gridCol w:w="1117"/>
        <w:gridCol w:w="1271"/>
        <w:gridCol w:w="1558"/>
        <w:gridCol w:w="763"/>
        <w:gridCol w:w="918"/>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6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2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80" w:type="dxa"/>
            <w:shd w:val="clear" w:color="auto" w:fill="auto"/>
            <w:vAlign w:val="center"/>
          </w:tcPr>
          <w:p>
            <w:pPr>
              <w:widowControl/>
              <w:jc w:val="center"/>
              <w:rPr>
                <w:rFonts w:hint="eastAsia" w:ascii="宋体" w:hAnsi="宋体" w:cs="宋体"/>
                <w:color w:val="000000"/>
                <w:kern w:val="0"/>
                <w:sz w:val="20"/>
                <w:szCs w:val="20"/>
              </w:rPr>
            </w:pPr>
          </w:p>
        </w:tc>
        <w:tc>
          <w:tcPr>
            <w:tcW w:w="11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1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1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391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昌州财社[2023]15号2023年中央财政基本药物制度补助资金（第二批），木垒县新户镇卫生院补助资金0.2787万元，目标内容1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实行网采，持续降低患者的购药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vMerge w:val="continue"/>
            <w:vAlign w:val="center"/>
          </w:tcPr>
          <w:p>
            <w:pPr>
              <w:widowControl/>
              <w:jc w:val="left"/>
              <w:rPr>
                <w:rFonts w:hint="eastAsia" w:ascii="宋体" w:hAnsi="宋体" w:cs="宋体"/>
                <w:color w:val="000000"/>
                <w:kern w:val="0"/>
                <w:sz w:val="20"/>
                <w:szCs w:val="20"/>
              </w:rPr>
            </w:pPr>
          </w:p>
        </w:tc>
        <w:tc>
          <w:tcPr>
            <w:tcW w:w="1117" w:type="dxa"/>
            <w:vMerge w:val="continue"/>
            <w:vAlign w:val="center"/>
          </w:tcPr>
          <w:p>
            <w:pPr>
              <w:widowControl/>
              <w:jc w:val="left"/>
              <w:rPr>
                <w:rFonts w:hint="eastAsia" w:ascii="宋体" w:hAnsi="宋体" w:cs="宋体"/>
                <w:color w:val="000000"/>
                <w:kern w:val="0"/>
                <w:sz w:val="20"/>
                <w:szCs w:val="20"/>
              </w:rPr>
            </w:pPr>
          </w:p>
        </w:tc>
        <w:tc>
          <w:tcPr>
            <w:tcW w:w="1271" w:type="dxa"/>
            <w:vMerge w:val="continue"/>
            <w:vAlign w:val="center"/>
          </w:tcPr>
          <w:p>
            <w:pPr>
              <w:widowControl/>
              <w:jc w:val="left"/>
              <w:rPr>
                <w:rFonts w:hint="eastAsia" w:ascii="宋体" w:hAnsi="宋体" w:cs="宋体"/>
                <w:color w:val="000000"/>
                <w:kern w:val="0"/>
                <w:sz w:val="20"/>
                <w:szCs w:val="20"/>
              </w:rPr>
            </w:pPr>
          </w:p>
        </w:tc>
        <w:tc>
          <w:tcPr>
            <w:tcW w:w="1558" w:type="dxa"/>
            <w:vMerge w:val="continue"/>
            <w:vAlign w:val="center"/>
          </w:tcPr>
          <w:p>
            <w:pPr>
              <w:widowControl/>
              <w:jc w:val="left"/>
              <w:rPr>
                <w:rFonts w:hint="eastAsia" w:ascii="宋体" w:hAnsi="宋体" w:cs="宋体"/>
                <w:color w:val="000000"/>
                <w:kern w:val="0"/>
                <w:sz w:val="20"/>
                <w:szCs w:val="20"/>
              </w:rPr>
            </w:pPr>
          </w:p>
        </w:tc>
        <w:tc>
          <w:tcPr>
            <w:tcW w:w="763" w:type="dxa"/>
            <w:vMerge w:val="continue"/>
            <w:vAlign w:val="center"/>
          </w:tcPr>
          <w:p>
            <w:pPr>
              <w:widowControl/>
              <w:jc w:val="left"/>
              <w:rPr>
                <w:rFonts w:hint="eastAsia" w:ascii="宋体" w:hAnsi="宋体" w:cs="宋体"/>
                <w:color w:val="000000"/>
                <w:kern w:val="0"/>
                <w:sz w:val="20"/>
                <w:szCs w:val="20"/>
              </w:rPr>
            </w:pPr>
          </w:p>
        </w:tc>
        <w:tc>
          <w:tcPr>
            <w:tcW w:w="918" w:type="dxa"/>
            <w:vMerge w:val="continue"/>
            <w:vAlign w:val="center"/>
          </w:tcPr>
          <w:p>
            <w:pPr>
              <w:widowControl/>
              <w:jc w:val="left"/>
              <w:rPr>
                <w:rFonts w:hint="eastAsia" w:ascii="宋体" w:hAnsi="宋体" w:cs="宋体"/>
                <w:color w:val="000000"/>
                <w:kern w:val="0"/>
                <w:sz w:val="20"/>
                <w:szCs w:val="20"/>
              </w:rPr>
            </w:pPr>
          </w:p>
        </w:tc>
        <w:tc>
          <w:tcPr>
            <w:tcW w:w="77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=143种</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指标2：群众购药成本下降率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p>
        </w:tc>
        <w:tc>
          <w:tcPr>
            <w:tcW w:w="1271" w:type="dxa"/>
            <w:shd w:val="clear" w:color="auto" w:fill="auto"/>
            <w:vAlign w:val="center"/>
          </w:tcPr>
          <w:p>
            <w:pPr>
              <w:widowControl/>
              <w:jc w:val="center"/>
              <w:rPr>
                <w:rFonts w:hint="eastAsia" w:ascii="宋体" w:hAnsi="宋体" w:cs="宋体"/>
                <w:color w:val="000000"/>
                <w:kern w:val="0"/>
                <w:sz w:val="20"/>
                <w:szCs w:val="20"/>
              </w:rPr>
            </w:pPr>
          </w:p>
        </w:tc>
        <w:tc>
          <w:tcPr>
            <w:tcW w:w="1558" w:type="dxa"/>
            <w:shd w:val="clear" w:color="auto" w:fill="auto"/>
            <w:vAlign w:val="center"/>
          </w:tcPr>
          <w:p>
            <w:pPr>
              <w:widowControl/>
              <w:jc w:val="center"/>
              <w:rPr>
                <w:rFonts w:hint="eastAsia" w:ascii="宋体" w:hAnsi="宋体" w:cs="宋体"/>
                <w:color w:val="000000"/>
                <w:kern w:val="0"/>
                <w:sz w:val="20"/>
                <w:szCs w:val="20"/>
              </w:rPr>
            </w:pPr>
          </w:p>
        </w:tc>
        <w:tc>
          <w:tcPr>
            <w:tcW w:w="763" w:type="dxa"/>
            <w:shd w:val="clear" w:color="auto" w:fill="auto"/>
            <w:vAlign w:val="center"/>
          </w:tcPr>
          <w:p>
            <w:pPr>
              <w:widowControl/>
              <w:jc w:val="center"/>
              <w:rPr>
                <w:rFonts w:hint="eastAsia" w:ascii="宋体" w:hAnsi="宋体" w:cs="宋体"/>
                <w:color w:val="000000"/>
                <w:kern w:val="0"/>
                <w:sz w:val="20"/>
                <w:szCs w:val="20"/>
              </w:rPr>
            </w:pPr>
          </w:p>
        </w:tc>
        <w:tc>
          <w:tcPr>
            <w:tcW w:w="918" w:type="dxa"/>
            <w:shd w:val="clear" w:color="auto" w:fill="auto"/>
            <w:vAlign w:val="center"/>
          </w:tcPr>
          <w:p>
            <w:pPr>
              <w:widowControl/>
              <w:jc w:val="center"/>
              <w:rPr>
                <w:rFonts w:hint="eastAsia" w:ascii="宋体" w:hAnsi="宋体" w:cs="宋体"/>
                <w:color w:val="000000"/>
                <w:kern w:val="0"/>
                <w:sz w:val="20"/>
                <w:szCs w:val="20"/>
              </w:rPr>
            </w:pP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p>
        </w:tc>
        <w:tc>
          <w:tcPr>
            <w:tcW w:w="1271" w:type="dxa"/>
            <w:shd w:val="clear" w:color="auto" w:fill="auto"/>
            <w:vAlign w:val="center"/>
          </w:tcPr>
          <w:p>
            <w:pPr>
              <w:widowControl/>
              <w:jc w:val="center"/>
              <w:rPr>
                <w:rFonts w:hint="eastAsia" w:ascii="宋体" w:hAnsi="宋体" w:cs="宋体"/>
                <w:color w:val="000000"/>
                <w:kern w:val="0"/>
                <w:sz w:val="20"/>
                <w:szCs w:val="20"/>
              </w:rPr>
            </w:pPr>
          </w:p>
        </w:tc>
        <w:tc>
          <w:tcPr>
            <w:tcW w:w="1558" w:type="dxa"/>
            <w:shd w:val="clear" w:color="auto" w:fill="auto"/>
            <w:vAlign w:val="center"/>
          </w:tcPr>
          <w:p>
            <w:pPr>
              <w:widowControl/>
              <w:jc w:val="center"/>
              <w:rPr>
                <w:rFonts w:hint="eastAsia" w:ascii="宋体" w:hAnsi="宋体" w:cs="宋体"/>
                <w:color w:val="000000"/>
                <w:kern w:val="0"/>
                <w:sz w:val="20"/>
                <w:szCs w:val="20"/>
              </w:rPr>
            </w:pPr>
          </w:p>
        </w:tc>
        <w:tc>
          <w:tcPr>
            <w:tcW w:w="763" w:type="dxa"/>
            <w:shd w:val="clear" w:color="auto" w:fill="auto"/>
            <w:vAlign w:val="center"/>
          </w:tcPr>
          <w:p>
            <w:pPr>
              <w:widowControl/>
              <w:jc w:val="center"/>
              <w:rPr>
                <w:rFonts w:hint="eastAsia" w:ascii="宋体" w:hAnsi="宋体" w:cs="宋体"/>
                <w:color w:val="000000"/>
                <w:kern w:val="0"/>
                <w:sz w:val="20"/>
                <w:szCs w:val="20"/>
              </w:rPr>
            </w:pPr>
          </w:p>
        </w:tc>
        <w:tc>
          <w:tcPr>
            <w:tcW w:w="918" w:type="dxa"/>
            <w:shd w:val="clear" w:color="auto" w:fill="auto"/>
            <w:vAlign w:val="center"/>
          </w:tcPr>
          <w:p>
            <w:pPr>
              <w:widowControl/>
              <w:jc w:val="center"/>
              <w:rPr>
                <w:rFonts w:hint="eastAsia" w:ascii="宋体" w:hAnsi="宋体" w:cs="宋体"/>
                <w:color w:val="000000"/>
                <w:kern w:val="0"/>
                <w:sz w:val="20"/>
                <w:szCs w:val="20"/>
              </w:rPr>
            </w:pP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p>
        </w:tc>
        <w:tc>
          <w:tcPr>
            <w:tcW w:w="1271" w:type="dxa"/>
            <w:shd w:val="clear" w:color="auto" w:fill="auto"/>
            <w:vAlign w:val="center"/>
          </w:tcPr>
          <w:p>
            <w:pPr>
              <w:widowControl/>
              <w:jc w:val="center"/>
              <w:rPr>
                <w:rFonts w:hint="eastAsia" w:ascii="宋体" w:hAnsi="宋体" w:cs="宋体"/>
                <w:color w:val="000000"/>
                <w:kern w:val="0"/>
                <w:sz w:val="20"/>
                <w:szCs w:val="20"/>
              </w:rPr>
            </w:pPr>
          </w:p>
        </w:tc>
        <w:tc>
          <w:tcPr>
            <w:tcW w:w="1558" w:type="dxa"/>
            <w:shd w:val="clear" w:color="auto" w:fill="auto"/>
            <w:vAlign w:val="center"/>
          </w:tcPr>
          <w:p>
            <w:pPr>
              <w:widowControl/>
              <w:jc w:val="center"/>
              <w:rPr>
                <w:rFonts w:hint="eastAsia" w:ascii="宋体" w:hAnsi="宋体" w:cs="宋体"/>
                <w:color w:val="000000"/>
                <w:kern w:val="0"/>
                <w:sz w:val="20"/>
                <w:szCs w:val="20"/>
              </w:rPr>
            </w:pPr>
          </w:p>
        </w:tc>
        <w:tc>
          <w:tcPr>
            <w:tcW w:w="763" w:type="dxa"/>
            <w:shd w:val="clear" w:color="auto" w:fill="auto"/>
            <w:vAlign w:val="center"/>
          </w:tcPr>
          <w:p>
            <w:pPr>
              <w:widowControl/>
              <w:jc w:val="center"/>
              <w:rPr>
                <w:rFonts w:hint="eastAsia" w:ascii="宋体" w:hAnsi="宋体" w:cs="宋体"/>
                <w:color w:val="000000"/>
                <w:kern w:val="0"/>
                <w:sz w:val="20"/>
                <w:szCs w:val="20"/>
              </w:rPr>
            </w:pPr>
          </w:p>
        </w:tc>
        <w:tc>
          <w:tcPr>
            <w:tcW w:w="918" w:type="dxa"/>
            <w:shd w:val="clear" w:color="auto" w:fill="auto"/>
            <w:vAlign w:val="center"/>
          </w:tcPr>
          <w:p>
            <w:pPr>
              <w:widowControl/>
              <w:jc w:val="center"/>
              <w:rPr>
                <w:rFonts w:hint="eastAsia" w:ascii="宋体" w:hAnsi="宋体" w:cs="宋体"/>
                <w:color w:val="000000"/>
                <w:kern w:val="0"/>
                <w:sz w:val="20"/>
                <w:szCs w:val="20"/>
              </w:rPr>
            </w:pP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79"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95"/>
        <w:gridCol w:w="950"/>
        <w:gridCol w:w="1318"/>
        <w:gridCol w:w="1275"/>
        <w:gridCol w:w="709"/>
        <w:gridCol w:w="99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shd w:val="clear" w:color="auto" w:fill="auto"/>
            <w:vAlign w:val="center"/>
          </w:tcPr>
          <w:p>
            <w:pPr>
              <w:widowControl/>
              <w:jc w:val="center"/>
              <w:rPr>
                <w:rFonts w:hint="eastAsia" w:ascii="宋体" w:hAnsi="宋体" w:cs="宋体"/>
                <w:color w:val="000000"/>
                <w:kern w:val="0"/>
                <w:sz w:val="20"/>
                <w:szCs w:val="20"/>
              </w:rPr>
            </w:pP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5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截止项目自评，本项目完成公主如下：卫生院使用补助资金0.11万元，实施单月访视季度查环查孕率达90%、长效避孕节育措施落实率96%，满意度95%。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vMerge w:val="continue"/>
            <w:vAlign w:val="center"/>
          </w:tcPr>
          <w:p>
            <w:pPr>
              <w:widowControl/>
              <w:jc w:val="left"/>
              <w:rPr>
                <w:rFonts w:hint="eastAsia" w:ascii="宋体" w:hAnsi="宋体" w:cs="宋体"/>
                <w:color w:val="000000"/>
                <w:kern w:val="0"/>
                <w:sz w:val="20"/>
                <w:szCs w:val="20"/>
              </w:rPr>
            </w:pPr>
          </w:p>
        </w:tc>
        <w:tc>
          <w:tcPr>
            <w:tcW w:w="950" w:type="dxa"/>
            <w:vMerge w:val="continue"/>
            <w:vAlign w:val="center"/>
          </w:tcPr>
          <w:p>
            <w:pPr>
              <w:widowControl/>
              <w:jc w:val="left"/>
              <w:rPr>
                <w:rFonts w:hint="eastAsia" w:ascii="宋体" w:hAnsi="宋体" w:cs="宋体"/>
                <w:color w:val="000000"/>
                <w:kern w:val="0"/>
                <w:sz w:val="20"/>
                <w:szCs w:val="20"/>
              </w:rPr>
            </w:pPr>
          </w:p>
        </w:tc>
        <w:tc>
          <w:tcPr>
            <w:tcW w:w="1318"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p>
        </w:tc>
        <w:tc>
          <w:tcPr>
            <w:tcW w:w="1318"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276"/>
        <w:gridCol w:w="1559"/>
        <w:gridCol w:w="1276"/>
        <w:gridCol w:w="828"/>
        <w:gridCol w:w="73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6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559"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731" w:type="dxa"/>
            <w:vMerge w:val="continue"/>
            <w:vAlign w:val="center"/>
          </w:tcPr>
          <w:p>
            <w:pPr>
              <w:widowControl/>
              <w:jc w:val="left"/>
              <w:rPr>
                <w:rFonts w:hint="eastAsia" w:ascii="宋体" w:hAnsi="宋体" w:cs="宋体"/>
                <w:color w:val="000000"/>
                <w:kern w:val="0"/>
                <w:sz w:val="20"/>
                <w:szCs w:val="20"/>
              </w:rPr>
            </w:pPr>
          </w:p>
        </w:tc>
        <w:tc>
          <w:tcPr>
            <w:tcW w:w="901"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p>
        </w:tc>
        <w:tc>
          <w:tcPr>
            <w:tcW w:w="1559"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p>
        </w:tc>
        <w:tc>
          <w:tcPr>
            <w:tcW w:w="731"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p>
        </w:tc>
        <w:tc>
          <w:tcPr>
            <w:tcW w:w="1559"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p>
        </w:tc>
        <w:tc>
          <w:tcPr>
            <w:tcW w:w="731"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p>
        </w:tc>
        <w:tc>
          <w:tcPr>
            <w:tcW w:w="1559"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p>
        </w:tc>
        <w:tc>
          <w:tcPr>
            <w:tcW w:w="731"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p>
        </w:tc>
        <w:tc>
          <w:tcPr>
            <w:tcW w:w="1559"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p>
        </w:tc>
        <w:tc>
          <w:tcPr>
            <w:tcW w:w="731" w:type="dxa"/>
            <w:shd w:val="clear" w:color="auto" w:fill="auto"/>
            <w:vAlign w:val="center"/>
          </w:tcPr>
          <w:p>
            <w:pPr>
              <w:widowControl/>
              <w:jc w:val="center"/>
              <w:rPr>
                <w:rFonts w:hint="eastAsia" w:ascii="宋体" w:hAnsi="宋体" w:cs="宋体"/>
                <w:color w:val="000000"/>
                <w:kern w:val="0"/>
                <w:sz w:val="20"/>
                <w:szCs w:val="20"/>
              </w:rPr>
            </w:pP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01"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53"/>
        <w:gridCol w:w="991"/>
        <w:gridCol w:w="1533"/>
        <w:gridCol w:w="1303"/>
        <w:gridCol w:w="655"/>
        <w:gridCol w:w="916"/>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昌州财社（2022年）54号-关于下达中央财政重大传染病防控经费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pPr>
              <w:widowControl/>
              <w:jc w:val="center"/>
              <w:rPr>
                <w:rFonts w:hint="eastAsia" w:ascii="宋体" w:hAnsi="宋体" w:cs="宋体"/>
                <w:color w:val="000000"/>
                <w:kern w:val="0"/>
                <w:sz w:val="20"/>
                <w:szCs w:val="20"/>
              </w:rPr>
            </w:pP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9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3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9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0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09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vMerge w:val="continue"/>
            <w:vAlign w:val="center"/>
          </w:tcPr>
          <w:p>
            <w:pPr>
              <w:widowControl/>
              <w:jc w:val="left"/>
              <w:rPr>
                <w:rFonts w:hint="eastAsia" w:ascii="宋体" w:hAnsi="宋体" w:cs="宋体"/>
                <w:color w:val="000000"/>
                <w:kern w:val="0"/>
                <w:sz w:val="20"/>
                <w:szCs w:val="20"/>
              </w:rPr>
            </w:pPr>
          </w:p>
        </w:tc>
        <w:tc>
          <w:tcPr>
            <w:tcW w:w="991" w:type="dxa"/>
            <w:vMerge w:val="continue"/>
            <w:vAlign w:val="center"/>
          </w:tcPr>
          <w:p>
            <w:pPr>
              <w:widowControl/>
              <w:jc w:val="left"/>
              <w:rPr>
                <w:rFonts w:hint="eastAsia" w:ascii="宋体" w:hAnsi="宋体" w:cs="宋体"/>
                <w:color w:val="000000"/>
                <w:kern w:val="0"/>
                <w:sz w:val="20"/>
                <w:szCs w:val="20"/>
              </w:rPr>
            </w:pPr>
          </w:p>
        </w:tc>
        <w:tc>
          <w:tcPr>
            <w:tcW w:w="1533" w:type="dxa"/>
            <w:vMerge w:val="continue"/>
            <w:vAlign w:val="center"/>
          </w:tcPr>
          <w:p>
            <w:pPr>
              <w:widowControl/>
              <w:jc w:val="left"/>
              <w:rPr>
                <w:rFonts w:hint="eastAsia" w:ascii="宋体" w:hAnsi="宋体" w:cs="宋体"/>
                <w:color w:val="000000"/>
                <w:kern w:val="0"/>
                <w:sz w:val="20"/>
                <w:szCs w:val="20"/>
              </w:rPr>
            </w:pPr>
          </w:p>
        </w:tc>
        <w:tc>
          <w:tcPr>
            <w:tcW w:w="1303" w:type="dxa"/>
            <w:vMerge w:val="continue"/>
            <w:vAlign w:val="center"/>
          </w:tcPr>
          <w:p>
            <w:pPr>
              <w:widowControl/>
              <w:jc w:val="left"/>
              <w:rPr>
                <w:rFonts w:hint="eastAsia" w:ascii="宋体" w:hAnsi="宋体" w:cs="宋体"/>
                <w:color w:val="000000"/>
                <w:kern w:val="0"/>
                <w:sz w:val="20"/>
                <w:szCs w:val="20"/>
              </w:rPr>
            </w:pPr>
          </w:p>
        </w:tc>
        <w:tc>
          <w:tcPr>
            <w:tcW w:w="655"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031"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p>
        </w:tc>
        <w:tc>
          <w:tcPr>
            <w:tcW w:w="1533" w:type="dxa"/>
            <w:shd w:val="clear" w:color="auto" w:fill="auto"/>
            <w:vAlign w:val="center"/>
          </w:tcPr>
          <w:p>
            <w:pPr>
              <w:widowControl/>
              <w:jc w:val="center"/>
              <w:rPr>
                <w:rFonts w:hint="eastAsia" w:ascii="宋体" w:hAnsi="宋体" w:cs="宋体"/>
                <w:color w:val="000000"/>
                <w:kern w:val="0"/>
                <w:sz w:val="20"/>
                <w:szCs w:val="20"/>
              </w:rPr>
            </w:pPr>
          </w:p>
        </w:tc>
        <w:tc>
          <w:tcPr>
            <w:tcW w:w="1303" w:type="dxa"/>
            <w:shd w:val="clear" w:color="auto" w:fill="auto"/>
            <w:vAlign w:val="center"/>
          </w:tcPr>
          <w:p>
            <w:pPr>
              <w:widowControl/>
              <w:jc w:val="center"/>
              <w:rPr>
                <w:rFonts w:hint="eastAsia" w:ascii="宋体" w:hAnsi="宋体" w:cs="宋体"/>
                <w:color w:val="000000"/>
                <w:kern w:val="0"/>
                <w:sz w:val="20"/>
                <w:szCs w:val="20"/>
              </w:rPr>
            </w:pPr>
          </w:p>
        </w:tc>
        <w:tc>
          <w:tcPr>
            <w:tcW w:w="655"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p>
        </w:tc>
        <w:tc>
          <w:tcPr>
            <w:tcW w:w="1533" w:type="dxa"/>
            <w:shd w:val="clear" w:color="auto" w:fill="auto"/>
            <w:vAlign w:val="center"/>
          </w:tcPr>
          <w:p>
            <w:pPr>
              <w:widowControl/>
              <w:jc w:val="center"/>
              <w:rPr>
                <w:rFonts w:hint="eastAsia" w:ascii="宋体" w:hAnsi="宋体" w:cs="宋体"/>
                <w:color w:val="000000"/>
                <w:kern w:val="0"/>
                <w:sz w:val="20"/>
                <w:szCs w:val="20"/>
              </w:rPr>
            </w:pPr>
          </w:p>
        </w:tc>
        <w:tc>
          <w:tcPr>
            <w:tcW w:w="1303" w:type="dxa"/>
            <w:shd w:val="clear" w:color="auto" w:fill="auto"/>
            <w:vAlign w:val="center"/>
          </w:tcPr>
          <w:p>
            <w:pPr>
              <w:widowControl/>
              <w:jc w:val="center"/>
              <w:rPr>
                <w:rFonts w:hint="eastAsia" w:ascii="宋体" w:hAnsi="宋体" w:cs="宋体"/>
                <w:color w:val="000000"/>
                <w:kern w:val="0"/>
                <w:sz w:val="20"/>
                <w:szCs w:val="20"/>
              </w:rPr>
            </w:pPr>
          </w:p>
        </w:tc>
        <w:tc>
          <w:tcPr>
            <w:tcW w:w="655"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p>
        </w:tc>
        <w:tc>
          <w:tcPr>
            <w:tcW w:w="1533" w:type="dxa"/>
            <w:shd w:val="clear" w:color="auto" w:fill="auto"/>
            <w:vAlign w:val="center"/>
          </w:tcPr>
          <w:p>
            <w:pPr>
              <w:widowControl/>
              <w:jc w:val="center"/>
              <w:rPr>
                <w:rFonts w:hint="eastAsia" w:ascii="宋体" w:hAnsi="宋体" w:cs="宋体"/>
                <w:color w:val="000000"/>
                <w:kern w:val="0"/>
                <w:sz w:val="20"/>
                <w:szCs w:val="20"/>
              </w:rPr>
            </w:pPr>
          </w:p>
        </w:tc>
        <w:tc>
          <w:tcPr>
            <w:tcW w:w="1303" w:type="dxa"/>
            <w:shd w:val="clear" w:color="auto" w:fill="auto"/>
            <w:vAlign w:val="center"/>
          </w:tcPr>
          <w:p>
            <w:pPr>
              <w:widowControl/>
              <w:jc w:val="center"/>
              <w:rPr>
                <w:rFonts w:hint="eastAsia" w:ascii="宋体" w:hAnsi="宋体" w:cs="宋体"/>
                <w:color w:val="000000"/>
                <w:kern w:val="0"/>
                <w:sz w:val="20"/>
                <w:szCs w:val="20"/>
              </w:rPr>
            </w:pPr>
          </w:p>
        </w:tc>
        <w:tc>
          <w:tcPr>
            <w:tcW w:w="655"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p>
        </w:tc>
        <w:tc>
          <w:tcPr>
            <w:tcW w:w="1533" w:type="dxa"/>
            <w:shd w:val="clear" w:color="auto" w:fill="auto"/>
            <w:vAlign w:val="center"/>
          </w:tcPr>
          <w:p>
            <w:pPr>
              <w:widowControl/>
              <w:jc w:val="center"/>
              <w:rPr>
                <w:rFonts w:hint="eastAsia" w:ascii="宋体" w:hAnsi="宋体" w:cs="宋体"/>
                <w:color w:val="000000"/>
                <w:kern w:val="0"/>
                <w:sz w:val="20"/>
                <w:szCs w:val="20"/>
              </w:rPr>
            </w:pPr>
          </w:p>
        </w:tc>
        <w:tc>
          <w:tcPr>
            <w:tcW w:w="1303" w:type="dxa"/>
            <w:shd w:val="clear" w:color="auto" w:fill="auto"/>
            <w:vAlign w:val="center"/>
          </w:tcPr>
          <w:p>
            <w:pPr>
              <w:widowControl/>
              <w:jc w:val="center"/>
              <w:rPr>
                <w:rFonts w:hint="eastAsia" w:ascii="宋体" w:hAnsi="宋体" w:cs="宋体"/>
                <w:color w:val="000000"/>
                <w:kern w:val="0"/>
                <w:sz w:val="20"/>
                <w:szCs w:val="20"/>
              </w:rPr>
            </w:pPr>
          </w:p>
        </w:tc>
        <w:tc>
          <w:tcPr>
            <w:tcW w:w="655"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1"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464"/>
        <w:gridCol w:w="1230"/>
        <w:gridCol w:w="1134"/>
        <w:gridCol w:w="992"/>
        <w:gridCol w:w="1134"/>
        <w:gridCol w:w="567"/>
        <w:gridCol w:w="685"/>
        <w:gridCol w:w="165"/>
        <w:gridCol w:w="812"/>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7"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5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9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30"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6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382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4230人，全民健康体检项目7项。新户镇卫生院使用全民体检补助资金15.1536万元，实施居民免费健康体检活动，扎实推进医疗惠民工程，进一步提高基层公共卫生服务能力，保障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850" w:type="dxa"/>
            <w:gridSpan w:val="2"/>
            <w:vMerge w:val="continue"/>
            <w:vAlign w:val="center"/>
          </w:tcPr>
          <w:p>
            <w:pPr>
              <w:widowControl/>
              <w:jc w:val="left"/>
              <w:rPr>
                <w:rFonts w:hint="eastAsia" w:ascii="宋体" w:hAnsi="宋体" w:cs="宋体"/>
                <w:color w:val="000000"/>
                <w:kern w:val="0"/>
                <w:sz w:val="20"/>
                <w:szCs w:val="20"/>
              </w:rPr>
            </w:pPr>
          </w:p>
        </w:tc>
        <w:tc>
          <w:tcPr>
            <w:tcW w:w="161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&gt;=4329人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=4230人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4.71</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38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99.71分</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322"/>
        <w:gridCol w:w="1372"/>
        <w:gridCol w:w="1275"/>
        <w:gridCol w:w="709"/>
        <w:gridCol w:w="99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32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7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万元，确保常态化防控工作有力有序，落实好传染病防控一线医务人员、待遇保障工作。</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万元，传染病防控医务人员2人，补助资金按时发放，发放率为100%。确保常态化防控工作有力有序，落实发放2名传染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7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1322" w:type="dxa"/>
            <w:vMerge w:val="continue"/>
            <w:vAlign w:val="center"/>
          </w:tcPr>
          <w:p>
            <w:pPr>
              <w:widowControl/>
              <w:jc w:val="left"/>
              <w:rPr>
                <w:rFonts w:hint="eastAsia" w:ascii="宋体" w:hAnsi="宋体" w:cs="宋体"/>
                <w:color w:val="000000"/>
                <w:kern w:val="0"/>
                <w:sz w:val="20"/>
                <w:szCs w:val="20"/>
              </w:rPr>
            </w:pPr>
          </w:p>
        </w:tc>
        <w:tc>
          <w:tcPr>
            <w:tcW w:w="1372"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p>
        </w:tc>
        <w:tc>
          <w:tcPr>
            <w:tcW w:w="1372"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p>
        </w:tc>
        <w:tc>
          <w:tcPr>
            <w:tcW w:w="1372"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p>
        </w:tc>
        <w:tc>
          <w:tcPr>
            <w:tcW w:w="1372"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p>
        </w:tc>
        <w:tc>
          <w:tcPr>
            <w:tcW w:w="1372"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p>
        </w:tc>
        <w:tc>
          <w:tcPr>
            <w:tcW w:w="1372" w:type="dxa"/>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vAlign w:val="center"/>
          </w:tcPr>
          <w:p>
            <w:pPr>
              <w:widowControl/>
              <w:jc w:val="center"/>
              <w:rPr>
                <w:rFonts w:hint="eastAsia" w:ascii="宋体" w:hAnsi="宋体" w:cs="宋体"/>
                <w:color w:val="000000"/>
                <w:kern w:val="0"/>
                <w:sz w:val="20"/>
                <w:szCs w:val="20"/>
              </w:rPr>
            </w:pPr>
          </w:p>
        </w:tc>
        <w:tc>
          <w:tcPr>
            <w:tcW w:w="709"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04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850"/>
        <w:gridCol w:w="426"/>
        <w:gridCol w:w="850"/>
        <w:gridCol w:w="425"/>
        <w:gridCol w:w="1418"/>
        <w:gridCol w:w="992"/>
        <w:gridCol w:w="662"/>
        <w:gridCol w:w="47"/>
        <w:gridCol w:w="567"/>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昌州财社【2021】84号-自治区基本公共卫生服务项目补助资金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47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276" w:type="dxa"/>
            <w:gridSpan w:val="2"/>
            <w:vMerge w:val="continue"/>
            <w:vAlign w:val="center"/>
          </w:tcPr>
          <w:p>
            <w:pPr>
              <w:widowControl/>
              <w:jc w:val="left"/>
              <w:rPr>
                <w:rFonts w:hint="eastAsia" w:ascii="宋体" w:hAnsi="宋体" w:cs="宋体"/>
                <w:color w:val="000000"/>
                <w:kern w:val="0"/>
                <w:sz w:val="20"/>
                <w:szCs w:val="20"/>
              </w:rPr>
            </w:pPr>
          </w:p>
        </w:tc>
        <w:tc>
          <w:tcPr>
            <w:tcW w:w="1843"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399"/>
        <w:gridCol w:w="729"/>
        <w:gridCol w:w="566"/>
        <w:gridCol w:w="1561"/>
        <w:gridCol w:w="1277"/>
        <w:gridCol w:w="1225"/>
        <w:gridCol w:w="48"/>
        <w:gridCol w:w="462"/>
        <w:gridCol w:w="308"/>
        <w:gridCol w:w="387"/>
        <w:gridCol w:w="49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0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4532"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58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基层医疗卫生机构基本药物287种，村卫生室基本药物品种146种。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vMerge w:val="continue"/>
            <w:vAlign w:val="center"/>
          </w:tcPr>
          <w:p>
            <w:pPr>
              <w:widowControl/>
              <w:jc w:val="left"/>
              <w:rPr>
                <w:rFonts w:hint="eastAsia" w:ascii="宋体" w:hAnsi="宋体" w:cs="宋体"/>
                <w:color w:val="000000"/>
                <w:kern w:val="0"/>
                <w:sz w:val="20"/>
                <w:szCs w:val="20"/>
              </w:rPr>
            </w:pPr>
          </w:p>
        </w:tc>
        <w:tc>
          <w:tcPr>
            <w:tcW w:w="2127" w:type="dxa"/>
            <w:gridSpan w:val="2"/>
            <w:vMerge w:val="continue"/>
            <w:vAlign w:val="center"/>
          </w:tcPr>
          <w:p>
            <w:pPr>
              <w:widowControl/>
              <w:jc w:val="left"/>
              <w:rPr>
                <w:rFonts w:hint="eastAsia" w:ascii="宋体" w:hAnsi="宋体" w:cs="宋体"/>
                <w:color w:val="000000"/>
                <w:kern w:val="0"/>
                <w:sz w:val="20"/>
                <w:szCs w:val="20"/>
              </w:rPr>
            </w:pPr>
          </w:p>
        </w:tc>
        <w:tc>
          <w:tcPr>
            <w:tcW w:w="1277" w:type="dxa"/>
            <w:vMerge w:val="continue"/>
            <w:vAlign w:val="center"/>
          </w:tcPr>
          <w:p>
            <w:pPr>
              <w:widowControl/>
              <w:jc w:val="left"/>
              <w:rPr>
                <w:rFonts w:hint="eastAsia" w:ascii="宋体" w:hAnsi="宋体" w:cs="宋体"/>
                <w:color w:val="000000"/>
                <w:kern w:val="0"/>
                <w:sz w:val="20"/>
                <w:szCs w:val="20"/>
              </w:rPr>
            </w:pPr>
          </w:p>
        </w:tc>
        <w:tc>
          <w:tcPr>
            <w:tcW w:w="1225" w:type="dxa"/>
            <w:vMerge w:val="continue"/>
            <w:vAlign w:val="center"/>
          </w:tcPr>
          <w:p>
            <w:pPr>
              <w:widowControl/>
              <w:jc w:val="left"/>
              <w:rPr>
                <w:rFonts w:hint="eastAsia" w:ascii="宋体" w:hAnsi="宋体" w:cs="宋体"/>
                <w:color w:val="000000"/>
                <w:kern w:val="0"/>
                <w:sz w:val="20"/>
                <w:szCs w:val="20"/>
              </w:rPr>
            </w:pPr>
          </w:p>
        </w:tc>
        <w:tc>
          <w:tcPr>
            <w:tcW w:w="510" w:type="dxa"/>
            <w:gridSpan w:val="2"/>
            <w:vMerge w:val="continue"/>
            <w:vAlign w:val="center"/>
          </w:tcPr>
          <w:p>
            <w:pPr>
              <w:widowControl/>
              <w:jc w:val="left"/>
              <w:rPr>
                <w:rFonts w:hint="eastAsia" w:ascii="宋体" w:hAnsi="宋体" w:cs="宋体"/>
                <w:color w:val="000000"/>
                <w:kern w:val="0"/>
                <w:sz w:val="20"/>
                <w:szCs w:val="20"/>
              </w:rPr>
            </w:pPr>
          </w:p>
        </w:tc>
        <w:tc>
          <w:tcPr>
            <w:tcW w:w="695" w:type="dxa"/>
            <w:gridSpan w:val="2"/>
            <w:vMerge w:val="continue"/>
            <w:vAlign w:val="center"/>
          </w:tcPr>
          <w:p>
            <w:pPr>
              <w:widowControl/>
              <w:jc w:val="left"/>
              <w:rPr>
                <w:rFonts w:hint="eastAsia" w:ascii="宋体" w:hAnsi="宋体" w:cs="宋体"/>
                <w:color w:val="000000"/>
                <w:kern w:val="0"/>
                <w:sz w:val="20"/>
                <w:szCs w:val="20"/>
              </w:rPr>
            </w:pPr>
          </w:p>
        </w:tc>
        <w:tc>
          <w:tcPr>
            <w:tcW w:w="115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=146种</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3.95</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1225" w:type="dxa"/>
            <w:shd w:val="clear" w:color="auto" w:fill="auto"/>
            <w:vAlign w:val="center"/>
          </w:tcPr>
          <w:p>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1225" w:type="dxa"/>
            <w:shd w:val="clear" w:color="auto" w:fill="auto"/>
            <w:vAlign w:val="center"/>
          </w:tcPr>
          <w:p>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277" w:type="dxa"/>
            <w:shd w:val="clear" w:color="auto" w:fill="auto"/>
            <w:vAlign w:val="center"/>
          </w:tcPr>
          <w:p>
            <w:pPr>
              <w:widowControl/>
              <w:jc w:val="center"/>
              <w:rPr>
                <w:rFonts w:hint="eastAsia" w:ascii="宋体" w:hAnsi="宋体" w:cs="宋体"/>
                <w:color w:val="000000"/>
                <w:kern w:val="0"/>
                <w:sz w:val="20"/>
                <w:szCs w:val="20"/>
              </w:rPr>
            </w:pPr>
          </w:p>
        </w:tc>
        <w:tc>
          <w:tcPr>
            <w:tcW w:w="1225" w:type="dxa"/>
            <w:shd w:val="clear" w:color="auto" w:fill="auto"/>
            <w:vAlign w:val="center"/>
          </w:tcPr>
          <w:p>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5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97.95分</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1276"/>
        <w:gridCol w:w="992"/>
        <w:gridCol w:w="425"/>
        <w:gridCol w:w="1134"/>
        <w:gridCol w:w="1134"/>
        <w:gridCol w:w="662"/>
        <w:gridCol w:w="47"/>
        <w:gridCol w:w="591"/>
        <w:gridCol w:w="118"/>
        <w:gridCol w:w="644"/>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79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3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33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17"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18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居民较少，工地较多，有迁入和迁出导致</w:t>
            </w: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w:t>
            </w: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2.39</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出生儿童较少，应接种尽接种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w:t>
            </w: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17.17</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有限，居民较少，工地较多，有迁入和迁出导致</w:t>
            </w: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89.96分</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992"/>
        <w:gridCol w:w="142"/>
        <w:gridCol w:w="1134"/>
        <w:gridCol w:w="141"/>
        <w:gridCol w:w="1418"/>
        <w:gridCol w:w="992"/>
        <w:gridCol w:w="567"/>
        <w:gridCol w:w="95"/>
        <w:gridCol w:w="614"/>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47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18" w:type="dxa"/>
            <w:shd w:val="clear" w:color="auto" w:fill="auto"/>
            <w:vAlign w:val="center"/>
          </w:tcPr>
          <w:p>
            <w:pPr>
              <w:widowControl/>
              <w:jc w:val="center"/>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1134"/>
        <w:gridCol w:w="1275"/>
        <w:gridCol w:w="284"/>
        <w:gridCol w:w="1276"/>
        <w:gridCol w:w="850"/>
        <w:gridCol w:w="567"/>
        <w:gridCol w:w="95"/>
        <w:gridCol w:w="614"/>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2"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1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61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1560"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shd w:val="clear" w:color="auto" w:fill="auto"/>
            <w:vAlign w:val="center"/>
          </w:tcPr>
          <w:p>
            <w:pPr>
              <w:widowControl/>
              <w:jc w:val="center"/>
              <w:rPr>
                <w:rFonts w:hint="eastAsia" w:ascii="宋体" w:hAnsi="宋体" w:cs="宋体"/>
                <w:color w:val="000000"/>
                <w:kern w:val="0"/>
                <w:sz w:val="20"/>
                <w:szCs w:val="20"/>
              </w:rPr>
            </w:pP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567" w:type="dxa"/>
            <w:shd w:val="clear" w:color="auto" w:fill="auto"/>
            <w:vAlign w:val="center"/>
          </w:tcPr>
          <w:p>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27"/>
        <w:gridCol w:w="1138"/>
        <w:gridCol w:w="1237"/>
        <w:gridCol w:w="902"/>
        <w:gridCol w:w="1554"/>
        <w:gridCol w:w="794"/>
        <w:gridCol w:w="916"/>
        <w:gridCol w:w="1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福利彩票公益金项目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8" w:type="dxa"/>
            <w:shd w:val="clear" w:color="auto" w:fill="auto"/>
            <w:vAlign w:val="center"/>
          </w:tcPr>
          <w:p>
            <w:pPr>
              <w:widowControl/>
              <w:jc w:val="center"/>
              <w:rPr>
                <w:rFonts w:hint="eastAsia" w:ascii="宋体" w:hAnsi="宋体" w:cs="宋体"/>
                <w:color w:val="000000"/>
                <w:kern w:val="0"/>
                <w:sz w:val="20"/>
                <w:szCs w:val="20"/>
              </w:rPr>
            </w:pP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3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0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2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70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综（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p>
        </w:tc>
        <w:tc>
          <w:tcPr>
            <w:tcW w:w="42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截止自评之日，本项目完成情况如下：新户镇卫生院使用129.64万元， 社区（乡镇）医养结合服务中心建设床位数20张，社区（乡镇）医养结合服务中心业务用房及适老化设施改造面积1000平方米，社区（乡镇）医养结合服务中心培训人数64人，为辖区内65岁以上老年人开展2次医养结合服务人数1223人次。为辖区内65岁以上失能老年人开展健康评估河健康服务人数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3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vMerge w:val="continue"/>
            <w:vAlign w:val="center"/>
          </w:tcPr>
          <w:p>
            <w:pPr>
              <w:widowControl/>
              <w:jc w:val="left"/>
              <w:rPr>
                <w:rFonts w:hint="eastAsia" w:ascii="宋体" w:hAnsi="宋体" w:cs="宋体"/>
                <w:color w:val="000000"/>
                <w:kern w:val="0"/>
                <w:sz w:val="20"/>
                <w:szCs w:val="20"/>
              </w:rPr>
            </w:pPr>
          </w:p>
        </w:tc>
        <w:tc>
          <w:tcPr>
            <w:tcW w:w="1237" w:type="dxa"/>
            <w:vMerge w:val="continue"/>
            <w:vAlign w:val="center"/>
          </w:tcPr>
          <w:p>
            <w:pPr>
              <w:widowControl/>
              <w:jc w:val="left"/>
              <w:rPr>
                <w:rFonts w:hint="eastAsia" w:ascii="宋体" w:hAnsi="宋体" w:cs="宋体"/>
                <w:color w:val="000000"/>
                <w:kern w:val="0"/>
                <w:sz w:val="20"/>
                <w:szCs w:val="20"/>
              </w:rPr>
            </w:pPr>
          </w:p>
        </w:tc>
        <w:tc>
          <w:tcPr>
            <w:tcW w:w="902" w:type="dxa"/>
            <w:vMerge w:val="continue"/>
            <w:vAlign w:val="center"/>
          </w:tcPr>
          <w:p>
            <w:pPr>
              <w:widowControl/>
              <w:jc w:val="left"/>
              <w:rPr>
                <w:rFonts w:hint="eastAsia" w:ascii="宋体" w:hAnsi="宋体" w:cs="宋体"/>
                <w:color w:val="000000"/>
                <w:kern w:val="0"/>
                <w:sz w:val="20"/>
                <w:szCs w:val="20"/>
              </w:rPr>
            </w:pPr>
          </w:p>
        </w:tc>
        <w:tc>
          <w:tcPr>
            <w:tcW w:w="1554" w:type="dxa"/>
            <w:vMerge w:val="continue"/>
            <w:vAlign w:val="center"/>
          </w:tcPr>
          <w:p>
            <w:pPr>
              <w:widowControl/>
              <w:jc w:val="left"/>
              <w:rPr>
                <w:rFonts w:hint="eastAsia" w:ascii="宋体" w:hAnsi="宋体" w:cs="宋体"/>
                <w:color w:val="000000"/>
                <w:kern w:val="0"/>
                <w:sz w:val="20"/>
                <w:szCs w:val="20"/>
              </w:rPr>
            </w:pPr>
          </w:p>
        </w:tc>
        <w:tc>
          <w:tcPr>
            <w:tcW w:w="794"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030"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社区（乡镇）医养结合服务中心建设床位数</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&gt;=20张</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=20张</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社区（乡镇）医养结合服务中心业务用房及适老化设施改造面积</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&gt;=1000平方米</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=1000平方米</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社区（乡镇）医养结合服务中心培训人数</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传染病解除，需要增加服务中心培训人次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为辖区内65岁以上老年人开展2次医养结合服务人数</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=1123人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为辖区内65岁以上失能老年人开展健康评估河健康服务人数</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建设项目合格率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设备配置合格率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65岁以上老年人提供医养结合服务率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p>
        </w:tc>
        <w:tc>
          <w:tcPr>
            <w:tcW w:w="902" w:type="dxa"/>
            <w:shd w:val="clear" w:color="auto" w:fill="auto"/>
            <w:vAlign w:val="center"/>
          </w:tcPr>
          <w:p>
            <w:pPr>
              <w:widowControl/>
              <w:jc w:val="center"/>
              <w:rPr>
                <w:rFonts w:hint="eastAsia" w:ascii="宋体" w:hAnsi="宋体" w:cs="宋体"/>
                <w:color w:val="000000"/>
                <w:kern w:val="0"/>
                <w:sz w:val="20"/>
                <w:szCs w:val="20"/>
              </w:rPr>
            </w:pPr>
          </w:p>
        </w:tc>
        <w:tc>
          <w:tcPr>
            <w:tcW w:w="1554" w:type="dxa"/>
            <w:shd w:val="clear" w:color="auto" w:fill="auto"/>
            <w:vAlign w:val="center"/>
          </w:tcPr>
          <w:p>
            <w:pPr>
              <w:widowControl/>
              <w:jc w:val="center"/>
              <w:rPr>
                <w:rFonts w:hint="eastAsia" w:ascii="宋体" w:hAnsi="宋体" w:cs="宋体"/>
                <w:color w:val="000000"/>
                <w:kern w:val="0"/>
                <w:sz w:val="20"/>
                <w:szCs w:val="20"/>
              </w:rPr>
            </w:pPr>
          </w:p>
        </w:tc>
        <w:tc>
          <w:tcPr>
            <w:tcW w:w="794"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p>
        </w:tc>
        <w:tc>
          <w:tcPr>
            <w:tcW w:w="902" w:type="dxa"/>
            <w:shd w:val="clear" w:color="auto" w:fill="auto"/>
            <w:vAlign w:val="center"/>
          </w:tcPr>
          <w:p>
            <w:pPr>
              <w:widowControl/>
              <w:jc w:val="center"/>
              <w:rPr>
                <w:rFonts w:hint="eastAsia" w:ascii="宋体" w:hAnsi="宋体" w:cs="宋体"/>
                <w:color w:val="000000"/>
                <w:kern w:val="0"/>
                <w:sz w:val="20"/>
                <w:szCs w:val="20"/>
              </w:rPr>
            </w:pPr>
          </w:p>
        </w:tc>
        <w:tc>
          <w:tcPr>
            <w:tcW w:w="1554" w:type="dxa"/>
            <w:shd w:val="clear" w:color="auto" w:fill="auto"/>
            <w:vAlign w:val="center"/>
          </w:tcPr>
          <w:p>
            <w:pPr>
              <w:widowControl/>
              <w:jc w:val="center"/>
              <w:rPr>
                <w:rFonts w:hint="eastAsia" w:ascii="宋体" w:hAnsi="宋体" w:cs="宋体"/>
                <w:color w:val="000000"/>
                <w:kern w:val="0"/>
                <w:sz w:val="20"/>
                <w:szCs w:val="20"/>
              </w:rPr>
            </w:pPr>
          </w:p>
        </w:tc>
        <w:tc>
          <w:tcPr>
            <w:tcW w:w="794"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p>
        </w:tc>
        <w:tc>
          <w:tcPr>
            <w:tcW w:w="902" w:type="dxa"/>
            <w:shd w:val="clear" w:color="auto" w:fill="auto"/>
            <w:vAlign w:val="center"/>
          </w:tcPr>
          <w:p>
            <w:pPr>
              <w:widowControl/>
              <w:jc w:val="center"/>
              <w:rPr>
                <w:rFonts w:hint="eastAsia" w:ascii="宋体" w:hAnsi="宋体" w:cs="宋体"/>
                <w:color w:val="000000"/>
                <w:kern w:val="0"/>
                <w:sz w:val="20"/>
                <w:szCs w:val="20"/>
              </w:rPr>
            </w:pPr>
          </w:p>
        </w:tc>
        <w:tc>
          <w:tcPr>
            <w:tcW w:w="1554" w:type="dxa"/>
            <w:shd w:val="clear" w:color="auto" w:fill="auto"/>
            <w:vAlign w:val="center"/>
          </w:tcPr>
          <w:p>
            <w:pPr>
              <w:widowControl/>
              <w:jc w:val="center"/>
              <w:rPr>
                <w:rFonts w:hint="eastAsia" w:ascii="宋体" w:hAnsi="宋体" w:cs="宋体"/>
                <w:color w:val="000000"/>
                <w:kern w:val="0"/>
                <w:sz w:val="20"/>
                <w:szCs w:val="20"/>
              </w:rPr>
            </w:pPr>
          </w:p>
        </w:tc>
        <w:tc>
          <w:tcPr>
            <w:tcW w:w="794"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p>
        </w:tc>
        <w:tc>
          <w:tcPr>
            <w:tcW w:w="902" w:type="dxa"/>
            <w:shd w:val="clear" w:color="auto" w:fill="auto"/>
            <w:vAlign w:val="center"/>
          </w:tcPr>
          <w:p>
            <w:pPr>
              <w:widowControl/>
              <w:jc w:val="center"/>
              <w:rPr>
                <w:rFonts w:hint="eastAsia" w:ascii="宋体" w:hAnsi="宋体" w:cs="宋体"/>
                <w:color w:val="000000"/>
                <w:kern w:val="0"/>
                <w:sz w:val="20"/>
                <w:szCs w:val="20"/>
              </w:rPr>
            </w:pPr>
          </w:p>
        </w:tc>
        <w:tc>
          <w:tcPr>
            <w:tcW w:w="1554" w:type="dxa"/>
            <w:shd w:val="clear" w:color="auto" w:fill="auto"/>
            <w:vAlign w:val="center"/>
          </w:tcPr>
          <w:p>
            <w:pPr>
              <w:widowControl/>
              <w:jc w:val="center"/>
              <w:rPr>
                <w:rFonts w:hint="eastAsia" w:ascii="宋体" w:hAnsi="宋体" w:cs="宋体"/>
                <w:color w:val="000000"/>
                <w:kern w:val="0"/>
                <w:sz w:val="20"/>
                <w:szCs w:val="20"/>
              </w:rPr>
            </w:pPr>
          </w:p>
        </w:tc>
        <w:tc>
          <w:tcPr>
            <w:tcW w:w="794"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65岁及以上老年人医养结合服务满意度</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89.4分</w:t>
            </w:r>
          </w:p>
        </w:tc>
        <w:tc>
          <w:tcPr>
            <w:tcW w:w="1030" w:type="dxa"/>
            <w:shd w:val="clear" w:color="auto" w:fill="auto"/>
            <w:vAlign w:val="center"/>
          </w:tcPr>
          <w:p>
            <w:pPr>
              <w:widowControl/>
              <w:jc w:val="center"/>
              <w:rPr>
                <w:rFonts w:hint="eastAsia" w:ascii="宋体" w:hAnsi="宋体" w:cs="宋体"/>
                <w:color w:val="000000"/>
                <w:kern w:val="0"/>
                <w:sz w:val="20"/>
                <w:szCs w:val="20"/>
              </w:rPr>
            </w:pPr>
          </w:p>
        </w:tc>
      </w:tr>
    </w:tbl>
    <w:p>
      <w:pPr>
        <w:jc w:val="left"/>
        <w:rPr>
          <w:rFonts w:hint="eastAsia" w:ascii="仿宋_GB2312" w:hAnsi="仿宋_GB2312" w:eastAsia="仿宋_GB2312" w:cs="仿宋_GB2312"/>
          <w:b/>
          <w:bCs/>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9"/>
        <w:gridCol w:w="1036"/>
        <w:gridCol w:w="284"/>
        <w:gridCol w:w="992"/>
        <w:gridCol w:w="1134"/>
        <w:gridCol w:w="142"/>
        <w:gridCol w:w="441"/>
        <w:gridCol w:w="541"/>
        <w:gridCol w:w="775"/>
        <w:gridCol w:w="859"/>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9" w:type="dxa"/>
            <w:shd w:val="clear" w:color="auto" w:fill="auto"/>
            <w:vAlign w:val="center"/>
          </w:tcPr>
          <w:p>
            <w:pPr>
              <w:widowControl/>
              <w:jc w:val="center"/>
              <w:rPr>
                <w:rFonts w:hint="eastAsia" w:ascii="宋体" w:hAnsi="宋体" w:cs="宋体"/>
                <w:color w:val="000000"/>
                <w:kern w:val="0"/>
                <w:sz w:val="20"/>
                <w:szCs w:val="20"/>
              </w:rPr>
            </w:pP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11.54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37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vMerge w:val="continue"/>
            <w:vAlign w:val="center"/>
          </w:tcPr>
          <w:p>
            <w:pPr>
              <w:widowControl/>
              <w:jc w:val="left"/>
              <w:rPr>
                <w:rFonts w:hint="eastAsia" w:ascii="宋体" w:hAnsi="宋体" w:cs="宋体"/>
                <w:color w:val="000000"/>
                <w:kern w:val="0"/>
                <w:sz w:val="20"/>
                <w:szCs w:val="20"/>
              </w:rPr>
            </w:pPr>
          </w:p>
        </w:tc>
        <w:tc>
          <w:tcPr>
            <w:tcW w:w="1320"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583" w:type="dxa"/>
            <w:gridSpan w:val="2"/>
            <w:vMerge w:val="continue"/>
            <w:vAlign w:val="center"/>
          </w:tcPr>
          <w:p>
            <w:pPr>
              <w:widowControl/>
              <w:jc w:val="left"/>
              <w:rPr>
                <w:rFonts w:hint="eastAsia" w:ascii="宋体" w:hAnsi="宋体" w:cs="宋体"/>
                <w:color w:val="000000"/>
                <w:kern w:val="0"/>
                <w:sz w:val="20"/>
                <w:szCs w:val="20"/>
              </w:rPr>
            </w:pPr>
          </w:p>
        </w:tc>
        <w:tc>
          <w:tcPr>
            <w:tcW w:w="1316" w:type="dxa"/>
            <w:gridSpan w:val="2"/>
            <w:vMerge w:val="continue"/>
            <w:vAlign w:val="center"/>
          </w:tcPr>
          <w:p>
            <w:pPr>
              <w:widowControl/>
              <w:jc w:val="left"/>
              <w:rPr>
                <w:rFonts w:hint="eastAsia" w:ascii="宋体" w:hAnsi="宋体" w:cs="宋体"/>
                <w:color w:val="000000"/>
                <w:kern w:val="0"/>
                <w:sz w:val="20"/>
                <w:szCs w:val="20"/>
              </w:rPr>
            </w:pPr>
          </w:p>
        </w:tc>
        <w:tc>
          <w:tcPr>
            <w:tcW w:w="169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2"/>
        <w:gridCol w:w="697"/>
        <w:gridCol w:w="142"/>
        <w:gridCol w:w="1097"/>
        <w:gridCol w:w="1335"/>
        <w:gridCol w:w="516"/>
        <w:gridCol w:w="451"/>
        <w:gridCol w:w="742"/>
        <w:gridCol w:w="773"/>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7"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5"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5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0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2" w:type="dxa"/>
            <w:shd w:val="clear" w:color="auto" w:fill="auto"/>
            <w:vAlign w:val="center"/>
          </w:tcPr>
          <w:p>
            <w:pPr>
              <w:widowControl/>
              <w:jc w:val="center"/>
              <w:rPr>
                <w:rFonts w:hint="eastAsia" w:ascii="宋体" w:hAnsi="宋体" w:cs="宋体"/>
                <w:color w:val="000000"/>
                <w:kern w:val="0"/>
                <w:sz w:val="20"/>
                <w:szCs w:val="20"/>
              </w:rPr>
            </w:pP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69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7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63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474"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截止项目自评，本项目完成公主如下：卫生院使用补助资金0.05万元，实施单月访视季度查环查孕率达90%、长效避孕节育措施落实率96%，满意度95%。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9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vMerge w:val="continue"/>
            <w:vAlign w:val="center"/>
          </w:tcPr>
          <w:p>
            <w:pPr>
              <w:widowControl/>
              <w:jc w:val="left"/>
              <w:rPr>
                <w:rFonts w:hint="eastAsia" w:ascii="宋体" w:hAnsi="宋体" w:cs="宋体"/>
                <w:color w:val="000000"/>
                <w:kern w:val="0"/>
                <w:sz w:val="20"/>
                <w:szCs w:val="20"/>
              </w:rPr>
            </w:pPr>
          </w:p>
        </w:tc>
        <w:tc>
          <w:tcPr>
            <w:tcW w:w="839" w:type="dxa"/>
            <w:gridSpan w:val="2"/>
            <w:vMerge w:val="continue"/>
            <w:vAlign w:val="center"/>
          </w:tcPr>
          <w:p>
            <w:pPr>
              <w:widowControl/>
              <w:jc w:val="left"/>
              <w:rPr>
                <w:rFonts w:hint="eastAsia" w:ascii="宋体" w:hAnsi="宋体" w:cs="宋体"/>
                <w:color w:val="000000"/>
                <w:kern w:val="0"/>
                <w:sz w:val="20"/>
                <w:szCs w:val="20"/>
              </w:rPr>
            </w:pPr>
          </w:p>
        </w:tc>
        <w:tc>
          <w:tcPr>
            <w:tcW w:w="1097" w:type="dxa"/>
            <w:vMerge w:val="continue"/>
            <w:vAlign w:val="center"/>
          </w:tcPr>
          <w:p>
            <w:pPr>
              <w:widowControl/>
              <w:jc w:val="left"/>
              <w:rPr>
                <w:rFonts w:hint="eastAsia" w:ascii="宋体" w:hAnsi="宋体" w:cs="宋体"/>
                <w:color w:val="000000"/>
                <w:kern w:val="0"/>
                <w:sz w:val="20"/>
                <w:szCs w:val="20"/>
              </w:rPr>
            </w:pPr>
          </w:p>
        </w:tc>
        <w:tc>
          <w:tcPr>
            <w:tcW w:w="1335"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1193" w:type="dxa"/>
            <w:gridSpan w:val="2"/>
            <w:vMerge w:val="continue"/>
            <w:vAlign w:val="center"/>
          </w:tcPr>
          <w:p>
            <w:pPr>
              <w:widowControl/>
              <w:jc w:val="left"/>
              <w:rPr>
                <w:rFonts w:hint="eastAsia" w:ascii="宋体" w:hAnsi="宋体" w:cs="宋体"/>
                <w:color w:val="000000"/>
                <w:kern w:val="0"/>
                <w:sz w:val="20"/>
                <w:szCs w:val="20"/>
              </w:rPr>
            </w:pPr>
          </w:p>
        </w:tc>
        <w:tc>
          <w:tcPr>
            <w:tcW w:w="159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097" w:type="dxa"/>
            <w:shd w:val="clear" w:color="auto" w:fill="auto"/>
            <w:vAlign w:val="center"/>
          </w:tcPr>
          <w:p>
            <w:pPr>
              <w:widowControl/>
              <w:jc w:val="center"/>
              <w:rPr>
                <w:rFonts w:hint="eastAsia" w:ascii="宋体" w:hAnsi="宋体" w:cs="宋体"/>
                <w:color w:val="000000"/>
                <w:kern w:val="0"/>
                <w:sz w:val="20"/>
                <w:szCs w:val="20"/>
              </w:rPr>
            </w:pPr>
          </w:p>
        </w:tc>
        <w:tc>
          <w:tcPr>
            <w:tcW w:w="1335"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22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46"/>
        <w:gridCol w:w="2030"/>
        <w:gridCol w:w="1220"/>
        <w:gridCol w:w="938"/>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46" w:type="dxa"/>
            <w:shd w:val="clear" w:color="auto" w:fill="auto"/>
            <w:vAlign w:val="center"/>
          </w:tcPr>
          <w:p>
            <w:pPr>
              <w:widowControl/>
              <w:jc w:val="center"/>
              <w:rPr>
                <w:rFonts w:hint="eastAsia" w:ascii="宋体" w:hAnsi="宋体" w:cs="宋体"/>
                <w:color w:val="000000"/>
                <w:kern w:val="0"/>
                <w:sz w:val="20"/>
                <w:szCs w:val="20"/>
              </w:rPr>
            </w:pPr>
          </w:p>
        </w:tc>
        <w:tc>
          <w:tcPr>
            <w:tcW w:w="2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203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3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91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308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vMerge w:val="continue"/>
            <w:vAlign w:val="center"/>
          </w:tcPr>
          <w:p>
            <w:pPr>
              <w:widowControl/>
              <w:jc w:val="left"/>
              <w:rPr>
                <w:rFonts w:hint="eastAsia" w:ascii="宋体" w:hAnsi="宋体" w:cs="宋体"/>
                <w:color w:val="000000"/>
                <w:kern w:val="0"/>
                <w:sz w:val="20"/>
                <w:szCs w:val="20"/>
              </w:rPr>
            </w:pPr>
          </w:p>
        </w:tc>
        <w:tc>
          <w:tcPr>
            <w:tcW w:w="2030" w:type="dxa"/>
            <w:vMerge w:val="continue"/>
            <w:vAlign w:val="center"/>
          </w:tcPr>
          <w:p>
            <w:pPr>
              <w:widowControl/>
              <w:jc w:val="left"/>
              <w:rPr>
                <w:rFonts w:hint="eastAsia" w:ascii="宋体" w:hAnsi="宋体" w:cs="宋体"/>
                <w:color w:val="000000"/>
                <w:kern w:val="0"/>
                <w:sz w:val="20"/>
                <w:szCs w:val="20"/>
              </w:rPr>
            </w:pPr>
          </w:p>
        </w:tc>
        <w:tc>
          <w:tcPr>
            <w:tcW w:w="1220" w:type="dxa"/>
            <w:vMerge w:val="continue"/>
            <w:vAlign w:val="center"/>
          </w:tcPr>
          <w:p>
            <w:pPr>
              <w:widowControl/>
              <w:jc w:val="left"/>
              <w:rPr>
                <w:rFonts w:hint="eastAsia" w:ascii="宋体" w:hAnsi="宋体" w:cs="宋体"/>
                <w:color w:val="000000"/>
                <w:kern w:val="0"/>
                <w:sz w:val="20"/>
                <w:szCs w:val="20"/>
              </w:rPr>
            </w:pPr>
          </w:p>
        </w:tc>
        <w:tc>
          <w:tcPr>
            <w:tcW w:w="938"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患者25人，就管理25人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=1087次/年</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=25次/年</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p>
        </w:tc>
        <w:tc>
          <w:tcPr>
            <w:tcW w:w="1220" w:type="dxa"/>
            <w:shd w:val="clear" w:color="auto" w:fill="auto"/>
            <w:vAlign w:val="center"/>
          </w:tcPr>
          <w:p>
            <w:pPr>
              <w:widowControl/>
              <w:jc w:val="center"/>
              <w:rPr>
                <w:rFonts w:hint="eastAsia" w:ascii="宋体" w:hAnsi="宋体" w:cs="宋体"/>
                <w:color w:val="000000"/>
                <w:kern w:val="0"/>
                <w:sz w:val="20"/>
                <w:szCs w:val="20"/>
              </w:rPr>
            </w:pPr>
          </w:p>
        </w:tc>
        <w:tc>
          <w:tcPr>
            <w:tcW w:w="938"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p>
        </w:tc>
        <w:tc>
          <w:tcPr>
            <w:tcW w:w="1220" w:type="dxa"/>
            <w:shd w:val="clear" w:color="auto" w:fill="auto"/>
            <w:vAlign w:val="center"/>
          </w:tcPr>
          <w:p>
            <w:pPr>
              <w:widowControl/>
              <w:jc w:val="center"/>
              <w:rPr>
                <w:rFonts w:hint="eastAsia" w:ascii="宋体" w:hAnsi="宋体" w:cs="宋体"/>
                <w:color w:val="000000"/>
                <w:kern w:val="0"/>
                <w:sz w:val="20"/>
                <w:szCs w:val="20"/>
              </w:rPr>
            </w:pPr>
          </w:p>
        </w:tc>
        <w:tc>
          <w:tcPr>
            <w:tcW w:w="938"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p>
        </w:tc>
        <w:tc>
          <w:tcPr>
            <w:tcW w:w="1220" w:type="dxa"/>
            <w:shd w:val="clear" w:color="auto" w:fill="auto"/>
            <w:vAlign w:val="center"/>
          </w:tcPr>
          <w:p>
            <w:pPr>
              <w:widowControl/>
              <w:jc w:val="center"/>
              <w:rPr>
                <w:rFonts w:hint="eastAsia" w:ascii="宋体" w:hAnsi="宋体" w:cs="宋体"/>
                <w:color w:val="000000"/>
                <w:kern w:val="0"/>
                <w:sz w:val="20"/>
                <w:szCs w:val="20"/>
              </w:rPr>
            </w:pPr>
          </w:p>
        </w:tc>
        <w:tc>
          <w:tcPr>
            <w:tcW w:w="938"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p>
        </w:tc>
        <w:tc>
          <w:tcPr>
            <w:tcW w:w="1220" w:type="dxa"/>
            <w:shd w:val="clear" w:color="auto" w:fill="auto"/>
            <w:vAlign w:val="center"/>
          </w:tcPr>
          <w:p>
            <w:pPr>
              <w:widowControl/>
              <w:jc w:val="center"/>
              <w:rPr>
                <w:rFonts w:hint="eastAsia" w:ascii="宋体" w:hAnsi="宋体" w:cs="宋体"/>
                <w:color w:val="000000"/>
                <w:kern w:val="0"/>
                <w:sz w:val="20"/>
                <w:szCs w:val="20"/>
              </w:rPr>
            </w:pPr>
          </w:p>
        </w:tc>
        <w:tc>
          <w:tcPr>
            <w:tcW w:w="938" w:type="dxa"/>
            <w:shd w:val="clear" w:color="auto" w:fill="auto"/>
            <w:vAlign w:val="center"/>
          </w:tcPr>
          <w:p>
            <w:pPr>
              <w:widowControl/>
              <w:jc w:val="center"/>
              <w:rPr>
                <w:rFonts w:hint="eastAsia" w:ascii="宋体" w:hAnsi="宋体" w:cs="宋体"/>
                <w:color w:val="000000"/>
                <w:kern w:val="0"/>
                <w:sz w:val="20"/>
                <w:szCs w:val="20"/>
              </w:rPr>
            </w:pPr>
          </w:p>
        </w:tc>
        <w:tc>
          <w:tcPr>
            <w:tcW w:w="516"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3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89.07分</w:t>
            </w:r>
          </w:p>
        </w:tc>
        <w:tc>
          <w:tcPr>
            <w:tcW w:w="716" w:type="dxa"/>
            <w:shd w:val="clear" w:color="auto" w:fill="auto"/>
            <w:vAlign w:val="center"/>
          </w:tcPr>
          <w:p>
            <w:pPr>
              <w:widowControl/>
              <w:jc w:val="center"/>
              <w:rPr>
                <w:rFonts w:hint="eastAsia" w:ascii="宋体" w:hAnsi="宋体" w:cs="宋体"/>
                <w:color w:val="000000"/>
                <w:kern w:val="0"/>
                <w:sz w:val="20"/>
                <w:szCs w:val="20"/>
              </w:rPr>
            </w:pPr>
          </w:p>
        </w:tc>
      </w:tr>
    </w:tbl>
    <w:p>
      <w:pPr>
        <w:widowControl/>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18"/>
        <w:gridCol w:w="294"/>
        <w:gridCol w:w="1655"/>
        <w:gridCol w:w="668"/>
        <w:gridCol w:w="717"/>
        <w:gridCol w:w="1227"/>
        <w:gridCol w:w="672"/>
        <w:gridCol w:w="104"/>
        <w:gridCol w:w="401"/>
        <w:gridCol w:w="518"/>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65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6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363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vMerge w:val="continue"/>
            <w:vAlign w:val="center"/>
          </w:tcPr>
          <w:p>
            <w:pPr>
              <w:widowControl/>
              <w:jc w:val="left"/>
              <w:rPr>
                <w:rFonts w:hint="eastAsia" w:ascii="宋体" w:hAnsi="宋体" w:cs="宋体"/>
                <w:color w:val="000000"/>
                <w:kern w:val="0"/>
                <w:sz w:val="20"/>
                <w:szCs w:val="20"/>
              </w:rPr>
            </w:pPr>
          </w:p>
        </w:tc>
        <w:tc>
          <w:tcPr>
            <w:tcW w:w="2617" w:type="dxa"/>
            <w:gridSpan w:val="3"/>
            <w:vMerge w:val="continue"/>
            <w:vAlign w:val="center"/>
          </w:tcPr>
          <w:p>
            <w:pPr>
              <w:widowControl/>
              <w:jc w:val="left"/>
              <w:rPr>
                <w:rFonts w:hint="eastAsia" w:ascii="宋体" w:hAnsi="宋体" w:cs="宋体"/>
                <w:color w:val="000000"/>
                <w:kern w:val="0"/>
                <w:sz w:val="20"/>
                <w:szCs w:val="20"/>
              </w:rPr>
            </w:pPr>
          </w:p>
        </w:tc>
        <w:tc>
          <w:tcPr>
            <w:tcW w:w="717" w:type="dxa"/>
            <w:vMerge w:val="continue"/>
            <w:vAlign w:val="center"/>
          </w:tcPr>
          <w:p>
            <w:pPr>
              <w:widowControl/>
              <w:jc w:val="left"/>
              <w:rPr>
                <w:rFonts w:hint="eastAsia" w:ascii="宋体" w:hAnsi="宋体" w:cs="宋体"/>
                <w:color w:val="000000"/>
                <w:kern w:val="0"/>
                <w:sz w:val="20"/>
                <w:szCs w:val="20"/>
              </w:rPr>
            </w:pPr>
          </w:p>
        </w:tc>
        <w:tc>
          <w:tcPr>
            <w:tcW w:w="1227" w:type="dxa"/>
            <w:vMerge w:val="continue"/>
            <w:vAlign w:val="center"/>
          </w:tcPr>
          <w:p>
            <w:pPr>
              <w:widowControl/>
              <w:jc w:val="left"/>
              <w:rPr>
                <w:rFonts w:hint="eastAsia" w:ascii="宋体" w:hAnsi="宋体" w:cs="宋体"/>
                <w:color w:val="000000"/>
                <w:kern w:val="0"/>
                <w:sz w:val="20"/>
                <w:szCs w:val="20"/>
              </w:rPr>
            </w:pPr>
          </w:p>
        </w:tc>
        <w:tc>
          <w:tcPr>
            <w:tcW w:w="672" w:type="dxa"/>
            <w:vMerge w:val="continue"/>
            <w:vAlign w:val="center"/>
          </w:tcPr>
          <w:p>
            <w:pPr>
              <w:widowControl/>
              <w:jc w:val="left"/>
              <w:rPr>
                <w:rFonts w:hint="eastAsia" w:ascii="宋体" w:hAnsi="宋体" w:cs="宋体"/>
                <w:color w:val="000000"/>
                <w:kern w:val="0"/>
                <w:sz w:val="20"/>
                <w:szCs w:val="20"/>
              </w:rPr>
            </w:pPr>
          </w:p>
        </w:tc>
        <w:tc>
          <w:tcPr>
            <w:tcW w:w="505" w:type="dxa"/>
            <w:gridSpan w:val="2"/>
            <w:vMerge w:val="continue"/>
            <w:vAlign w:val="center"/>
          </w:tcPr>
          <w:p>
            <w:pPr>
              <w:widowControl/>
              <w:jc w:val="left"/>
              <w:rPr>
                <w:rFonts w:hint="eastAsia" w:ascii="宋体" w:hAnsi="宋体" w:cs="宋体"/>
                <w:color w:val="000000"/>
                <w:kern w:val="0"/>
                <w:sz w:val="20"/>
                <w:szCs w:val="20"/>
              </w:rPr>
            </w:pPr>
          </w:p>
        </w:tc>
        <w:tc>
          <w:tcPr>
            <w:tcW w:w="123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717" w:type="dxa"/>
            <w:shd w:val="clear" w:color="auto" w:fill="auto"/>
            <w:vAlign w:val="center"/>
          </w:tcPr>
          <w:p>
            <w:pPr>
              <w:widowControl/>
              <w:jc w:val="center"/>
              <w:rPr>
                <w:rFonts w:hint="eastAsia" w:ascii="宋体" w:hAnsi="宋体" w:cs="宋体"/>
                <w:color w:val="000000"/>
                <w:kern w:val="0"/>
                <w:sz w:val="20"/>
                <w:szCs w:val="20"/>
              </w:rPr>
            </w:pPr>
          </w:p>
        </w:tc>
        <w:tc>
          <w:tcPr>
            <w:tcW w:w="1227" w:type="dxa"/>
            <w:shd w:val="clear" w:color="auto" w:fill="auto"/>
            <w:vAlign w:val="center"/>
          </w:tcPr>
          <w:p>
            <w:pPr>
              <w:widowControl/>
              <w:jc w:val="center"/>
              <w:rPr>
                <w:rFonts w:hint="eastAsia" w:ascii="宋体" w:hAnsi="宋体" w:cs="宋体"/>
                <w:color w:val="000000"/>
                <w:kern w:val="0"/>
                <w:sz w:val="20"/>
                <w:szCs w:val="20"/>
              </w:rPr>
            </w:pPr>
          </w:p>
        </w:tc>
        <w:tc>
          <w:tcPr>
            <w:tcW w:w="672" w:type="dxa"/>
            <w:shd w:val="clear" w:color="auto" w:fill="auto"/>
            <w:vAlign w:val="center"/>
          </w:tcPr>
          <w:p>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717" w:type="dxa"/>
            <w:shd w:val="clear" w:color="auto" w:fill="auto"/>
            <w:vAlign w:val="center"/>
          </w:tcPr>
          <w:p>
            <w:pPr>
              <w:widowControl/>
              <w:jc w:val="center"/>
              <w:rPr>
                <w:rFonts w:hint="eastAsia" w:ascii="宋体" w:hAnsi="宋体" w:cs="宋体"/>
                <w:color w:val="000000"/>
                <w:kern w:val="0"/>
                <w:sz w:val="20"/>
                <w:szCs w:val="20"/>
              </w:rPr>
            </w:pPr>
          </w:p>
        </w:tc>
        <w:tc>
          <w:tcPr>
            <w:tcW w:w="1227" w:type="dxa"/>
            <w:shd w:val="clear" w:color="auto" w:fill="auto"/>
            <w:vAlign w:val="center"/>
          </w:tcPr>
          <w:p>
            <w:pPr>
              <w:widowControl/>
              <w:jc w:val="center"/>
              <w:rPr>
                <w:rFonts w:hint="eastAsia" w:ascii="宋体" w:hAnsi="宋体" w:cs="宋体"/>
                <w:color w:val="000000"/>
                <w:kern w:val="0"/>
                <w:sz w:val="20"/>
                <w:szCs w:val="20"/>
              </w:rPr>
            </w:pPr>
          </w:p>
        </w:tc>
        <w:tc>
          <w:tcPr>
            <w:tcW w:w="672" w:type="dxa"/>
            <w:shd w:val="clear" w:color="auto" w:fill="auto"/>
            <w:vAlign w:val="center"/>
          </w:tcPr>
          <w:p>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717" w:type="dxa"/>
            <w:shd w:val="clear" w:color="auto" w:fill="auto"/>
            <w:vAlign w:val="center"/>
          </w:tcPr>
          <w:p>
            <w:pPr>
              <w:widowControl/>
              <w:jc w:val="center"/>
              <w:rPr>
                <w:rFonts w:hint="eastAsia" w:ascii="宋体" w:hAnsi="宋体" w:cs="宋体"/>
                <w:color w:val="000000"/>
                <w:kern w:val="0"/>
                <w:sz w:val="20"/>
                <w:szCs w:val="20"/>
              </w:rPr>
            </w:pPr>
          </w:p>
        </w:tc>
        <w:tc>
          <w:tcPr>
            <w:tcW w:w="1227" w:type="dxa"/>
            <w:shd w:val="clear" w:color="auto" w:fill="auto"/>
            <w:vAlign w:val="center"/>
          </w:tcPr>
          <w:p>
            <w:pPr>
              <w:widowControl/>
              <w:jc w:val="center"/>
              <w:rPr>
                <w:rFonts w:hint="eastAsia" w:ascii="宋体" w:hAnsi="宋体" w:cs="宋体"/>
                <w:color w:val="000000"/>
                <w:kern w:val="0"/>
                <w:sz w:val="20"/>
                <w:szCs w:val="20"/>
              </w:rPr>
            </w:pPr>
          </w:p>
        </w:tc>
        <w:tc>
          <w:tcPr>
            <w:tcW w:w="672" w:type="dxa"/>
            <w:shd w:val="clear" w:color="auto" w:fill="auto"/>
            <w:vAlign w:val="center"/>
          </w:tcPr>
          <w:p>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1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7"/>
        <w:gridCol w:w="1276"/>
        <w:gridCol w:w="284"/>
        <w:gridCol w:w="850"/>
        <w:gridCol w:w="1134"/>
        <w:gridCol w:w="735"/>
        <w:gridCol w:w="790"/>
        <w:gridCol w:w="819"/>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shd w:val="clear" w:color="auto" w:fill="auto"/>
            <w:vAlign w:val="center"/>
          </w:tcPr>
          <w:p>
            <w:pPr>
              <w:widowControl/>
              <w:jc w:val="center"/>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80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8号《关于提前下达2023年自治区财政基本公共卫生服务补助资金预算的通知》，新户镇使用基本公共卫生补助资金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居民健康档案建档人数5940人，家庭医生签约服务人数3615人，新户镇使用基本公共卫生补助资金2万元，健康知识讲座、公众健康咨询、个体化健康教育开展次数29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vMerge w:val="continue"/>
            <w:vAlign w:val="center"/>
          </w:tcPr>
          <w:p>
            <w:pPr>
              <w:widowControl/>
              <w:jc w:val="left"/>
              <w:rPr>
                <w:rFonts w:hint="eastAsia" w:ascii="宋体" w:hAnsi="宋体" w:cs="宋体"/>
                <w:color w:val="000000"/>
                <w:kern w:val="0"/>
                <w:sz w:val="20"/>
                <w:szCs w:val="20"/>
              </w:rPr>
            </w:pPr>
          </w:p>
        </w:tc>
        <w:tc>
          <w:tcPr>
            <w:tcW w:w="1560"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735" w:type="dxa"/>
            <w:vMerge w:val="continue"/>
            <w:vAlign w:val="center"/>
          </w:tcPr>
          <w:p>
            <w:pPr>
              <w:widowControl/>
              <w:jc w:val="left"/>
              <w:rPr>
                <w:rFonts w:hint="eastAsia" w:ascii="宋体" w:hAnsi="宋体" w:cs="宋体"/>
                <w:color w:val="000000"/>
                <w:kern w:val="0"/>
                <w:sz w:val="20"/>
                <w:szCs w:val="20"/>
              </w:rPr>
            </w:pPr>
          </w:p>
        </w:tc>
        <w:tc>
          <w:tcPr>
            <w:tcW w:w="790" w:type="dxa"/>
            <w:vMerge w:val="continue"/>
            <w:vAlign w:val="center"/>
          </w:tcPr>
          <w:p>
            <w:pPr>
              <w:widowControl/>
              <w:jc w:val="left"/>
              <w:rPr>
                <w:rFonts w:hint="eastAsia" w:ascii="宋体" w:hAnsi="宋体" w:cs="宋体"/>
                <w:color w:val="000000"/>
                <w:kern w:val="0"/>
                <w:sz w:val="20"/>
                <w:szCs w:val="20"/>
              </w:rPr>
            </w:pPr>
          </w:p>
        </w:tc>
        <w:tc>
          <w:tcPr>
            <w:tcW w:w="164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=5940人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健康知识讲座、公众健康咨询、个体化健康教育开展次数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由于当地居民需要，健康讲座增加。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肺结核病人规范管理人数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肺结核病人增加，年初无法预判。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=347人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辖区严重精神障碍患者管理率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35" w:type="dxa"/>
            <w:shd w:val="clear" w:color="auto" w:fill="auto"/>
            <w:vAlign w:val="center"/>
          </w:tcPr>
          <w:p>
            <w:pPr>
              <w:widowControl/>
              <w:jc w:val="center"/>
              <w:rPr>
                <w:rFonts w:hint="eastAsia" w:ascii="宋体" w:hAnsi="宋体" w:cs="宋体"/>
                <w:color w:val="000000"/>
                <w:kern w:val="0"/>
                <w:sz w:val="20"/>
                <w:szCs w:val="20"/>
              </w:rPr>
            </w:pPr>
          </w:p>
        </w:tc>
        <w:tc>
          <w:tcPr>
            <w:tcW w:w="790" w:type="dxa"/>
            <w:shd w:val="clear" w:color="auto" w:fill="auto"/>
            <w:vAlign w:val="center"/>
          </w:tcPr>
          <w:p>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35" w:type="dxa"/>
            <w:shd w:val="clear" w:color="auto" w:fill="auto"/>
            <w:vAlign w:val="center"/>
          </w:tcPr>
          <w:p>
            <w:pPr>
              <w:widowControl/>
              <w:jc w:val="center"/>
              <w:rPr>
                <w:rFonts w:hint="eastAsia" w:ascii="宋体" w:hAnsi="宋体" w:cs="宋体"/>
                <w:color w:val="000000"/>
                <w:kern w:val="0"/>
                <w:sz w:val="20"/>
                <w:szCs w:val="20"/>
              </w:rPr>
            </w:pPr>
          </w:p>
        </w:tc>
        <w:tc>
          <w:tcPr>
            <w:tcW w:w="790" w:type="dxa"/>
            <w:shd w:val="clear" w:color="auto" w:fill="auto"/>
            <w:vAlign w:val="center"/>
          </w:tcPr>
          <w:p>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人口有限，工地较多，</w:t>
            </w:r>
            <w:r>
              <w:rPr>
                <w:rFonts w:hint="eastAsia" w:ascii="宋体" w:hAnsi="宋体" w:cs="宋体"/>
                <w:color w:val="000000"/>
                <w:kern w:val="0"/>
                <w:sz w:val="20"/>
                <w:szCs w:val="20"/>
                <w:lang w:eastAsia="zh-CN"/>
              </w:rPr>
              <w:t>常住人口</w:t>
            </w:r>
            <w:r>
              <w:rPr>
                <w:rFonts w:hint="eastAsia" w:ascii="宋体" w:hAnsi="宋体" w:cs="宋体"/>
                <w:color w:val="000000"/>
                <w:kern w:val="0"/>
                <w:sz w:val="20"/>
                <w:szCs w:val="20"/>
              </w:rPr>
              <w:t>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p>
        </w:tc>
        <w:tc>
          <w:tcPr>
            <w:tcW w:w="735" w:type="dxa"/>
            <w:shd w:val="clear" w:color="auto" w:fill="auto"/>
            <w:vAlign w:val="center"/>
          </w:tcPr>
          <w:p>
            <w:pPr>
              <w:widowControl/>
              <w:jc w:val="center"/>
              <w:rPr>
                <w:rFonts w:hint="eastAsia" w:ascii="宋体" w:hAnsi="宋体" w:cs="宋体"/>
                <w:color w:val="000000"/>
                <w:kern w:val="0"/>
                <w:sz w:val="20"/>
                <w:szCs w:val="20"/>
              </w:rPr>
            </w:pPr>
          </w:p>
        </w:tc>
        <w:tc>
          <w:tcPr>
            <w:tcW w:w="790" w:type="dxa"/>
            <w:shd w:val="clear" w:color="auto" w:fill="auto"/>
            <w:vAlign w:val="center"/>
          </w:tcPr>
          <w:p>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35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90.45分</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424"/>
        <w:gridCol w:w="843"/>
        <w:gridCol w:w="1701"/>
        <w:gridCol w:w="1458"/>
        <w:gridCol w:w="1388"/>
        <w:gridCol w:w="517"/>
        <w:gridCol w:w="916"/>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3" w:type="dxa"/>
            <w:shd w:val="clear" w:color="auto" w:fill="auto"/>
            <w:vAlign w:val="center"/>
          </w:tcPr>
          <w:p>
            <w:pPr>
              <w:widowControl/>
              <w:jc w:val="center"/>
              <w:rPr>
                <w:rFonts w:hint="eastAsia" w:ascii="宋体" w:hAnsi="宋体" w:cs="宋体"/>
                <w:color w:val="000000"/>
                <w:kern w:val="0"/>
                <w:sz w:val="20"/>
                <w:szCs w:val="20"/>
              </w:rPr>
            </w:pP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5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42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0.33048万元，确保常态化防控工作有力有序，落实好传染病防控一线医务人员、待遇保障工作。</w:t>
            </w:r>
          </w:p>
        </w:tc>
        <w:tc>
          <w:tcPr>
            <w:tcW w:w="355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0.33048万元，传染病防控医务人员2人，补助资金按时发放，发放率为100%。确保常态化防控工作有力有序，落实发放2名传染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vMerge w:val="continue"/>
            <w:vAlign w:val="center"/>
          </w:tcPr>
          <w:p>
            <w:pPr>
              <w:widowControl/>
              <w:jc w:val="left"/>
              <w:rPr>
                <w:rFonts w:hint="eastAsia" w:ascii="宋体" w:hAnsi="宋体" w:cs="宋体"/>
                <w:color w:val="000000"/>
                <w:kern w:val="0"/>
                <w:sz w:val="20"/>
                <w:szCs w:val="20"/>
              </w:rPr>
            </w:pPr>
          </w:p>
        </w:tc>
        <w:tc>
          <w:tcPr>
            <w:tcW w:w="1701" w:type="dxa"/>
            <w:vMerge w:val="continue"/>
            <w:vAlign w:val="center"/>
          </w:tcPr>
          <w:p>
            <w:pPr>
              <w:widowControl/>
              <w:jc w:val="left"/>
              <w:rPr>
                <w:rFonts w:hint="eastAsia" w:ascii="宋体" w:hAnsi="宋体" w:cs="宋体"/>
                <w:color w:val="000000"/>
                <w:kern w:val="0"/>
                <w:sz w:val="20"/>
                <w:szCs w:val="20"/>
              </w:rPr>
            </w:pPr>
          </w:p>
        </w:tc>
        <w:tc>
          <w:tcPr>
            <w:tcW w:w="1458" w:type="dxa"/>
            <w:vMerge w:val="continue"/>
            <w:vAlign w:val="center"/>
          </w:tcPr>
          <w:p>
            <w:pPr>
              <w:widowControl/>
              <w:jc w:val="left"/>
              <w:rPr>
                <w:rFonts w:hint="eastAsia" w:ascii="宋体" w:hAnsi="宋体" w:cs="宋体"/>
                <w:color w:val="000000"/>
                <w:kern w:val="0"/>
                <w:sz w:val="20"/>
                <w:szCs w:val="20"/>
              </w:rPr>
            </w:pPr>
          </w:p>
        </w:tc>
        <w:tc>
          <w:tcPr>
            <w:tcW w:w="1388"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3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p>
        </w:tc>
        <w:tc>
          <w:tcPr>
            <w:tcW w:w="1458" w:type="dxa"/>
            <w:shd w:val="clear" w:color="auto" w:fill="auto"/>
            <w:vAlign w:val="center"/>
          </w:tcPr>
          <w:p>
            <w:pPr>
              <w:widowControl/>
              <w:jc w:val="center"/>
              <w:rPr>
                <w:rFonts w:hint="eastAsia" w:ascii="宋体" w:hAnsi="宋体" w:cs="宋体"/>
                <w:color w:val="000000"/>
                <w:kern w:val="0"/>
                <w:sz w:val="20"/>
                <w:szCs w:val="20"/>
              </w:rPr>
            </w:pPr>
          </w:p>
        </w:tc>
        <w:tc>
          <w:tcPr>
            <w:tcW w:w="1388" w:type="dxa"/>
            <w:shd w:val="clear" w:color="auto" w:fill="auto"/>
            <w:vAlign w:val="center"/>
          </w:tcPr>
          <w:p>
            <w:pPr>
              <w:widowControl/>
              <w:jc w:val="center"/>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p>
        </w:tc>
        <w:tc>
          <w:tcPr>
            <w:tcW w:w="1458" w:type="dxa"/>
            <w:shd w:val="clear" w:color="auto" w:fill="auto"/>
            <w:vAlign w:val="center"/>
          </w:tcPr>
          <w:p>
            <w:pPr>
              <w:widowControl/>
              <w:jc w:val="center"/>
              <w:rPr>
                <w:rFonts w:hint="eastAsia" w:ascii="宋体" w:hAnsi="宋体" w:cs="宋体"/>
                <w:color w:val="000000"/>
                <w:kern w:val="0"/>
                <w:sz w:val="20"/>
                <w:szCs w:val="20"/>
              </w:rPr>
            </w:pPr>
          </w:p>
        </w:tc>
        <w:tc>
          <w:tcPr>
            <w:tcW w:w="1388" w:type="dxa"/>
            <w:shd w:val="clear" w:color="auto" w:fill="auto"/>
            <w:vAlign w:val="center"/>
          </w:tcPr>
          <w:p>
            <w:pPr>
              <w:widowControl/>
              <w:jc w:val="center"/>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p>
        </w:tc>
        <w:tc>
          <w:tcPr>
            <w:tcW w:w="1458" w:type="dxa"/>
            <w:shd w:val="clear" w:color="auto" w:fill="auto"/>
            <w:vAlign w:val="center"/>
          </w:tcPr>
          <w:p>
            <w:pPr>
              <w:widowControl/>
              <w:jc w:val="center"/>
              <w:rPr>
                <w:rFonts w:hint="eastAsia" w:ascii="宋体" w:hAnsi="宋体" w:cs="宋体"/>
                <w:color w:val="000000"/>
                <w:kern w:val="0"/>
                <w:sz w:val="20"/>
                <w:szCs w:val="20"/>
              </w:rPr>
            </w:pPr>
          </w:p>
        </w:tc>
        <w:tc>
          <w:tcPr>
            <w:tcW w:w="1388" w:type="dxa"/>
            <w:shd w:val="clear" w:color="auto" w:fill="auto"/>
            <w:vAlign w:val="center"/>
          </w:tcPr>
          <w:p>
            <w:pPr>
              <w:widowControl/>
              <w:jc w:val="center"/>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p>
        </w:tc>
        <w:tc>
          <w:tcPr>
            <w:tcW w:w="1458" w:type="dxa"/>
            <w:shd w:val="clear" w:color="auto" w:fill="auto"/>
            <w:vAlign w:val="center"/>
          </w:tcPr>
          <w:p>
            <w:pPr>
              <w:widowControl/>
              <w:jc w:val="center"/>
              <w:rPr>
                <w:rFonts w:hint="eastAsia" w:ascii="宋体" w:hAnsi="宋体" w:cs="宋体"/>
                <w:color w:val="000000"/>
                <w:kern w:val="0"/>
                <w:sz w:val="20"/>
                <w:szCs w:val="20"/>
              </w:rPr>
            </w:pPr>
          </w:p>
        </w:tc>
        <w:tc>
          <w:tcPr>
            <w:tcW w:w="1388" w:type="dxa"/>
            <w:shd w:val="clear" w:color="auto" w:fill="auto"/>
            <w:vAlign w:val="center"/>
          </w:tcPr>
          <w:p>
            <w:pPr>
              <w:widowControl/>
              <w:jc w:val="center"/>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p>
        </w:tc>
        <w:tc>
          <w:tcPr>
            <w:tcW w:w="1458" w:type="dxa"/>
            <w:shd w:val="clear" w:color="auto" w:fill="auto"/>
            <w:vAlign w:val="center"/>
          </w:tcPr>
          <w:p>
            <w:pPr>
              <w:widowControl/>
              <w:jc w:val="center"/>
              <w:rPr>
                <w:rFonts w:hint="eastAsia" w:ascii="宋体" w:hAnsi="宋体" w:cs="宋体"/>
                <w:color w:val="000000"/>
                <w:kern w:val="0"/>
                <w:sz w:val="20"/>
                <w:szCs w:val="20"/>
              </w:rPr>
            </w:pPr>
          </w:p>
        </w:tc>
        <w:tc>
          <w:tcPr>
            <w:tcW w:w="1388" w:type="dxa"/>
            <w:shd w:val="clear" w:color="auto" w:fill="auto"/>
            <w:vAlign w:val="center"/>
          </w:tcPr>
          <w:p>
            <w:pPr>
              <w:widowControl/>
              <w:jc w:val="center"/>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p>
        </w:tc>
        <w:tc>
          <w:tcPr>
            <w:tcW w:w="916" w:type="dxa"/>
            <w:shd w:val="clear" w:color="auto" w:fill="auto"/>
            <w:vAlign w:val="center"/>
          </w:tcPr>
          <w:p>
            <w:pPr>
              <w:widowControl/>
              <w:jc w:val="center"/>
              <w:rPr>
                <w:rFonts w:hint="eastAsia" w:ascii="宋体" w:hAnsi="宋体" w:cs="宋体"/>
                <w:color w:val="000000"/>
                <w:kern w:val="0"/>
                <w:sz w:val="20"/>
                <w:szCs w:val="20"/>
              </w:rPr>
            </w:pPr>
          </w:p>
        </w:tc>
        <w:tc>
          <w:tcPr>
            <w:tcW w:w="733" w:type="dxa"/>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4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3" w:type="dxa"/>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hint="eastAsia" w:ascii="仿宋_GB2312" w:hAnsi="仿宋_GB2312" w:eastAsia="仿宋_GB2312" w:cs="仿宋_GB2312"/>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503D1"/>
    <w:rsid w:val="000B7E49"/>
    <w:rsid w:val="000C69A9"/>
    <w:rsid w:val="001A04AB"/>
    <w:rsid w:val="00213C59"/>
    <w:rsid w:val="003210CE"/>
    <w:rsid w:val="00340E6E"/>
    <w:rsid w:val="00377773"/>
    <w:rsid w:val="00382919"/>
    <w:rsid w:val="003A7C1F"/>
    <w:rsid w:val="00425A6C"/>
    <w:rsid w:val="004635CF"/>
    <w:rsid w:val="00464163"/>
    <w:rsid w:val="00464DEF"/>
    <w:rsid w:val="00496E9E"/>
    <w:rsid w:val="004A237A"/>
    <w:rsid w:val="005023DC"/>
    <w:rsid w:val="005711A9"/>
    <w:rsid w:val="005F2D58"/>
    <w:rsid w:val="0063528F"/>
    <w:rsid w:val="00683D91"/>
    <w:rsid w:val="006D55CC"/>
    <w:rsid w:val="007A4A75"/>
    <w:rsid w:val="00845B5C"/>
    <w:rsid w:val="00860C41"/>
    <w:rsid w:val="008977D9"/>
    <w:rsid w:val="008A16B1"/>
    <w:rsid w:val="008D4D86"/>
    <w:rsid w:val="008F6C6E"/>
    <w:rsid w:val="00927E93"/>
    <w:rsid w:val="009D4AFD"/>
    <w:rsid w:val="00A5074D"/>
    <w:rsid w:val="00AD20A5"/>
    <w:rsid w:val="00B70D59"/>
    <w:rsid w:val="00BB78FB"/>
    <w:rsid w:val="00C62DE6"/>
    <w:rsid w:val="00CC53A2"/>
    <w:rsid w:val="00D3045F"/>
    <w:rsid w:val="00DB75C8"/>
    <w:rsid w:val="00E8415B"/>
    <w:rsid w:val="00F52A8D"/>
    <w:rsid w:val="00F6568A"/>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9E5236"/>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B66B3"/>
    <w:rsid w:val="29CB58F0"/>
    <w:rsid w:val="2A053397"/>
    <w:rsid w:val="2A145E96"/>
    <w:rsid w:val="2A2131BB"/>
    <w:rsid w:val="2A7A6FFE"/>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13192</Words>
  <Characters>15660</Characters>
  <Lines>241</Lines>
  <Paragraphs>67</Paragraphs>
  <TotalTime>39</TotalTime>
  <ScaleCrop>false</ScaleCrop>
  <LinksUpToDate>false</LinksUpToDate>
  <CharactersWithSpaces>15966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2025-04-22T10:23:14Z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